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88077" w14:textId="77777777" w:rsidR="00F43E6C" w:rsidRPr="00161607" w:rsidRDefault="00F43E6C" w:rsidP="00F43E6C">
      <w:pPr>
        <w:pStyle w:val="af6"/>
        <w:spacing w:before="120"/>
      </w:pPr>
      <w:r w:rsidRPr="00161607">
        <w:t>Supplementary material 2</w:t>
      </w:r>
    </w:p>
    <w:p w14:paraId="41053FEE" w14:textId="77777777" w:rsidR="00F43E6C" w:rsidRPr="00161607" w:rsidRDefault="00F43E6C" w:rsidP="00F43E6C">
      <w:pPr>
        <w:ind w:firstLine="420"/>
        <w:rPr>
          <w:rFonts w:eastAsia="宋体"/>
        </w:rPr>
      </w:pPr>
    </w:p>
    <w:p w14:paraId="01725A1E" w14:textId="77777777" w:rsidR="00F43E6C" w:rsidRPr="00161607" w:rsidRDefault="00F43E6C" w:rsidP="00F43E6C">
      <w:pPr>
        <w:ind w:firstLineChars="0" w:firstLine="0"/>
        <w:jc w:val="center"/>
      </w:pPr>
      <w:r w:rsidRPr="00161607">
        <w:rPr>
          <w:noProof/>
        </w:rPr>
        <w:drawing>
          <wp:inline distT="0" distB="0" distL="0" distR="0" wp14:anchorId="0AFC487F" wp14:editId="5D864A6D">
            <wp:extent cx="4518749" cy="794505"/>
            <wp:effectExtent l="0" t="0" r="0" b="571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577" cy="8168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F7DD69" w14:textId="65E30806" w:rsidR="00F43E6C" w:rsidRPr="00161607" w:rsidRDefault="00466B6A" w:rsidP="00ED4154">
      <w:pPr>
        <w:pStyle w:val="af5"/>
      </w:pPr>
      <w:bookmarkStart w:id="0" w:name="_Hlk206590139"/>
      <w:r w:rsidRPr="00B33F94">
        <w:rPr>
          <w:b/>
          <w:bCs/>
        </w:rPr>
        <w:t>Supplementary Fig. 1</w:t>
      </w:r>
      <w:bookmarkEnd w:id="0"/>
      <w:r w:rsidRPr="00B33F94">
        <w:rPr>
          <w:b/>
          <w:bCs/>
        </w:rPr>
        <w:t xml:space="preserve">. </w:t>
      </w:r>
      <w:r w:rsidR="00F43E6C" w:rsidRPr="00B33F94">
        <w:rPr>
          <w:b/>
          <w:bCs/>
        </w:rPr>
        <w:t>Number of participants achieving &gt;50% headache relief at treatment completion in the acupuncture versus sham-acupuncture groups.</w:t>
      </w:r>
      <w:r w:rsidR="00F43E6C" w:rsidRPr="00161607">
        <w:t xml:space="preserve"> CI: confidence interval; IV:</w:t>
      </w:r>
      <w:r w:rsidR="005C3AA3" w:rsidRPr="00161607">
        <w:t xml:space="preserve"> inverse variance</w:t>
      </w:r>
      <w:r w:rsidR="005C3AA3" w:rsidRPr="00161607">
        <w:rPr>
          <w:rFonts w:ascii="PMingLiU" w:eastAsia="PMingLiU" w:hAnsi="PMingLiU" w:cs="PMingLiU"/>
        </w:rPr>
        <w:t>;</w:t>
      </w:r>
      <w:r w:rsidR="00F43E6C" w:rsidRPr="00161607">
        <w:rPr>
          <w:rFonts w:hint="eastAsia"/>
          <w:lang w:eastAsia="zh-TW"/>
        </w:rPr>
        <w:t xml:space="preserve"> </w:t>
      </w:r>
      <w:r w:rsidR="00F43E6C" w:rsidRPr="00161607">
        <w:t xml:space="preserve">M-H: </w:t>
      </w:r>
      <w:r w:rsidR="005C3AA3" w:rsidRPr="00161607">
        <w:t>Mantel–Haenszel method</w:t>
      </w:r>
      <w:r w:rsidR="00F43E6C" w:rsidRPr="00161607">
        <w:t>.</w:t>
      </w:r>
    </w:p>
    <w:p w14:paraId="604E4130" w14:textId="77777777" w:rsidR="00F80C25" w:rsidRPr="00161607" w:rsidRDefault="00F80C25" w:rsidP="00F80C25">
      <w:pPr>
        <w:ind w:firstLineChars="0" w:firstLine="0"/>
        <w:rPr>
          <w:rFonts w:eastAsiaTheme="minorEastAsia"/>
        </w:rPr>
      </w:pPr>
    </w:p>
    <w:p w14:paraId="3A1D4FEB" w14:textId="1EBA473B" w:rsidR="00F43E6C" w:rsidRPr="00161607" w:rsidRDefault="00364888" w:rsidP="00F80C25">
      <w:pPr>
        <w:ind w:firstLineChars="0" w:firstLine="0"/>
        <w:jc w:val="center"/>
      </w:pPr>
      <w:r w:rsidRPr="00161607">
        <w:rPr>
          <w:noProof/>
        </w:rPr>
        <w:drawing>
          <wp:inline distT="0" distB="0" distL="0" distR="0" wp14:anchorId="686B4415" wp14:editId="3C957CE1">
            <wp:extent cx="3767878" cy="6574704"/>
            <wp:effectExtent l="0" t="0" r="444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5482" cy="6587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FCAC5" w14:textId="58FC2C4C" w:rsidR="00F43E6C" w:rsidRPr="00161607" w:rsidRDefault="00466B6A" w:rsidP="00ED4154">
      <w:pPr>
        <w:pStyle w:val="af5"/>
      </w:pPr>
      <w:r w:rsidRPr="00B33F94">
        <w:rPr>
          <w:b/>
          <w:bCs/>
        </w:rPr>
        <w:lastRenderedPageBreak/>
        <w:t xml:space="preserve">Supplementary Fig. 2. </w:t>
      </w:r>
      <w:r w:rsidR="00F43E6C" w:rsidRPr="00B33F94">
        <w:rPr>
          <w:b/>
          <w:bCs/>
        </w:rPr>
        <w:t xml:space="preserve">Subgroup analyses of headache scores between the acupuncture and sham-acupuncture groups within 12 weeks post-treatment: (A) acupoint </w:t>
      </w:r>
      <w:r w:rsidR="00F43E6C" w:rsidRPr="00B33F94">
        <w:rPr>
          <w:b/>
          <w:bCs/>
          <w:i/>
          <w:iCs/>
        </w:rPr>
        <w:t>vs</w:t>
      </w:r>
      <w:r w:rsidR="00F43E6C" w:rsidRPr="00B33F94">
        <w:rPr>
          <w:b/>
          <w:bCs/>
        </w:rPr>
        <w:t xml:space="preserve">. non-acupoint/non-trigger-point needling; (B) number of treatment sessions; (C) treatment duration; and (D) regional differences (East Asia </w:t>
      </w:r>
      <w:r w:rsidR="00F43E6C" w:rsidRPr="00B33F94">
        <w:rPr>
          <w:b/>
          <w:bCs/>
          <w:i/>
          <w:iCs/>
        </w:rPr>
        <w:t>vs</w:t>
      </w:r>
      <w:r w:rsidR="00F43E6C" w:rsidRPr="00B33F94">
        <w:rPr>
          <w:b/>
          <w:bCs/>
        </w:rPr>
        <w:t>. non</w:t>
      </w:r>
      <w:r w:rsidR="004107AB" w:rsidRPr="00B33F94">
        <w:rPr>
          <w:b/>
          <w:bCs/>
        </w:rPr>
        <w:t>-</w:t>
      </w:r>
      <w:r w:rsidR="00F43E6C" w:rsidRPr="00B33F94">
        <w:rPr>
          <w:b/>
          <w:bCs/>
        </w:rPr>
        <w:t>East Asia).</w:t>
      </w:r>
      <w:r w:rsidR="00F43E6C" w:rsidRPr="00161607">
        <w:t xml:space="preserve"> SD: standard deviation; min: minute; CI: confidence interval; IV:</w:t>
      </w:r>
      <w:r w:rsidR="005C3AA3" w:rsidRPr="00161607">
        <w:t xml:space="preserve"> inverse variance</w:t>
      </w:r>
      <w:r w:rsidR="00F43E6C" w:rsidRPr="00161607">
        <w:t>.</w:t>
      </w:r>
    </w:p>
    <w:p w14:paraId="5462A202" w14:textId="77777777" w:rsidR="00F43E6C" w:rsidRPr="00161607" w:rsidRDefault="00F43E6C" w:rsidP="00ED4154">
      <w:pPr>
        <w:pStyle w:val="af5"/>
      </w:pPr>
    </w:p>
    <w:p w14:paraId="66EE1AA3" w14:textId="2A2C8C65" w:rsidR="00F43E6C" w:rsidRPr="00161607" w:rsidRDefault="00FB3A94" w:rsidP="00ED4154">
      <w:pPr>
        <w:pStyle w:val="ab"/>
      </w:pPr>
      <w:r w:rsidRPr="00161607">
        <w:t>S</w:t>
      </w:r>
      <w:r w:rsidRPr="00161607">
        <w:rPr>
          <w:bCs/>
        </w:rPr>
        <w:t>upplementary Table 1</w:t>
      </w:r>
      <w:r w:rsidR="00F43E6C" w:rsidRPr="00161607">
        <w:t>. The detailed search strategies for each database.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763"/>
        <w:gridCol w:w="1522"/>
        <w:gridCol w:w="7068"/>
      </w:tblGrid>
      <w:tr w:rsidR="00F43E6C" w:rsidRPr="00161607" w14:paraId="08848D00" w14:textId="77777777" w:rsidTr="00A162D5">
        <w:trPr>
          <w:trHeight w:val="283"/>
          <w:jc w:val="center"/>
        </w:trPr>
        <w:tc>
          <w:tcPr>
            <w:tcW w:w="2285" w:type="dxa"/>
            <w:gridSpan w:val="2"/>
            <w:noWrap/>
            <w:vAlign w:val="center"/>
            <w:hideMark/>
          </w:tcPr>
          <w:p w14:paraId="5780DF57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Search number</w:t>
            </w:r>
          </w:p>
        </w:tc>
        <w:tc>
          <w:tcPr>
            <w:tcW w:w="7068" w:type="dxa"/>
            <w:noWrap/>
            <w:vAlign w:val="center"/>
            <w:hideMark/>
          </w:tcPr>
          <w:p w14:paraId="0604FDAD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Query</w:t>
            </w:r>
          </w:p>
        </w:tc>
      </w:tr>
      <w:tr w:rsidR="00F43E6C" w:rsidRPr="00161607" w14:paraId="0EADEAB0" w14:textId="77777777" w:rsidTr="00A162D5">
        <w:trPr>
          <w:trHeight w:val="283"/>
          <w:jc w:val="center"/>
        </w:trPr>
        <w:tc>
          <w:tcPr>
            <w:tcW w:w="9353" w:type="dxa"/>
            <w:gridSpan w:val="3"/>
            <w:vAlign w:val="center"/>
          </w:tcPr>
          <w:p w14:paraId="6021E07C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PubMed</w:t>
            </w:r>
          </w:p>
        </w:tc>
      </w:tr>
      <w:tr w:rsidR="00F43E6C" w:rsidRPr="00161607" w14:paraId="3B6FA8EC" w14:textId="77777777" w:rsidTr="00A162D5">
        <w:trPr>
          <w:trHeight w:val="283"/>
          <w:jc w:val="center"/>
        </w:trPr>
        <w:tc>
          <w:tcPr>
            <w:tcW w:w="763" w:type="dxa"/>
            <w:vMerge w:val="restart"/>
            <w:noWrap/>
            <w:vAlign w:val="center"/>
          </w:tcPr>
          <w:p w14:paraId="41111C28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4872098A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#9</w:t>
            </w:r>
          </w:p>
        </w:tc>
        <w:tc>
          <w:tcPr>
            <w:tcW w:w="7068" w:type="dxa"/>
            <w:noWrap/>
            <w:vAlign w:val="center"/>
            <w:hideMark/>
          </w:tcPr>
          <w:p w14:paraId="59E4D942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#2 AND #8</w:t>
            </w:r>
          </w:p>
        </w:tc>
      </w:tr>
      <w:tr w:rsidR="00F43E6C" w:rsidRPr="00161607" w14:paraId="0875702F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45B02772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11E625B8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#8</w:t>
            </w:r>
          </w:p>
        </w:tc>
        <w:tc>
          <w:tcPr>
            <w:tcW w:w="7068" w:type="dxa"/>
            <w:noWrap/>
            <w:vAlign w:val="center"/>
            <w:hideMark/>
          </w:tcPr>
          <w:p w14:paraId="4541CD80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#7 OR #5</w:t>
            </w:r>
          </w:p>
        </w:tc>
      </w:tr>
      <w:tr w:rsidR="00F43E6C" w:rsidRPr="00161607" w14:paraId="5FCC4039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1C5D75E5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48809C38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#7</w:t>
            </w:r>
          </w:p>
        </w:tc>
        <w:tc>
          <w:tcPr>
            <w:tcW w:w="7068" w:type="dxa"/>
            <w:noWrap/>
            <w:vAlign w:val="center"/>
            <w:hideMark/>
          </w:tcPr>
          <w:p w14:paraId="08F5FBDF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#1 AND #6</w:t>
            </w:r>
          </w:p>
        </w:tc>
      </w:tr>
      <w:tr w:rsidR="00F43E6C" w:rsidRPr="00161607" w14:paraId="1A37F470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39C8BCF9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6506765E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#6</w:t>
            </w:r>
          </w:p>
        </w:tc>
        <w:tc>
          <w:tcPr>
            <w:tcW w:w="7068" w:type="dxa"/>
            <w:noWrap/>
            <w:vAlign w:val="center"/>
            <w:hideMark/>
          </w:tcPr>
          <w:p w14:paraId="43F7F327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#3 OR #4</w:t>
            </w:r>
          </w:p>
        </w:tc>
      </w:tr>
      <w:tr w:rsidR="00F43E6C" w:rsidRPr="00161607" w14:paraId="4A2315D2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6FA93B49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4A544E1D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#5</w:t>
            </w:r>
          </w:p>
        </w:tc>
        <w:tc>
          <w:tcPr>
            <w:tcW w:w="7068" w:type="dxa"/>
            <w:noWrap/>
            <w:vAlign w:val="center"/>
            <w:hideMark/>
          </w:tcPr>
          <w:p w14:paraId="1F458C46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tension-type headache [</w:t>
            </w:r>
            <w:proofErr w:type="spellStart"/>
            <w:r w:rsidRPr="00161607">
              <w:t>MeSH</w:t>
            </w:r>
            <w:proofErr w:type="spellEnd"/>
            <w:r w:rsidRPr="00161607">
              <w:t xml:space="preserve"> Terms]</w:t>
            </w:r>
          </w:p>
        </w:tc>
      </w:tr>
      <w:tr w:rsidR="00F43E6C" w:rsidRPr="00161607" w14:paraId="26E74D04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3F090290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57B43005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#4</w:t>
            </w:r>
          </w:p>
        </w:tc>
        <w:tc>
          <w:tcPr>
            <w:tcW w:w="7068" w:type="dxa"/>
            <w:noWrap/>
            <w:vAlign w:val="center"/>
            <w:hideMark/>
          </w:tcPr>
          <w:p w14:paraId="36A30443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“tension” [Title/Abstract]</w:t>
            </w:r>
          </w:p>
        </w:tc>
      </w:tr>
      <w:tr w:rsidR="00F43E6C" w:rsidRPr="00161607" w14:paraId="08D07447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128261A8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2EE91D49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#3</w:t>
            </w:r>
          </w:p>
        </w:tc>
        <w:tc>
          <w:tcPr>
            <w:tcW w:w="7068" w:type="dxa"/>
            <w:noWrap/>
            <w:vAlign w:val="center"/>
            <w:hideMark/>
          </w:tcPr>
          <w:p w14:paraId="40153649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“tension-type” [Title/Abstract]</w:t>
            </w:r>
          </w:p>
        </w:tc>
      </w:tr>
      <w:tr w:rsidR="00F43E6C" w:rsidRPr="00161607" w14:paraId="23DC497B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40096E88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44E22DB9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#2</w:t>
            </w:r>
          </w:p>
        </w:tc>
        <w:tc>
          <w:tcPr>
            <w:tcW w:w="7068" w:type="dxa"/>
            <w:vAlign w:val="center"/>
            <w:hideMark/>
          </w:tcPr>
          <w:p w14:paraId="3400F5A3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“acupuncture” [Title/Abstract] OR “electroacupuncture” [Title/Abstract] OR “electro-acupuncture” [Title/Abstract] OR “acupuncture” [</w:t>
            </w:r>
            <w:proofErr w:type="spellStart"/>
            <w:r w:rsidRPr="00161607">
              <w:t>MeSH</w:t>
            </w:r>
            <w:proofErr w:type="spellEnd"/>
            <w:r w:rsidRPr="00161607">
              <w:t xml:space="preserve"> Terms] OR “acupuncture therapy” [</w:t>
            </w:r>
            <w:proofErr w:type="spellStart"/>
            <w:r w:rsidRPr="00161607">
              <w:t>MeSH</w:t>
            </w:r>
            <w:proofErr w:type="spellEnd"/>
            <w:r w:rsidRPr="00161607">
              <w:t xml:space="preserve"> Terms]</w:t>
            </w:r>
          </w:p>
        </w:tc>
      </w:tr>
      <w:tr w:rsidR="00F43E6C" w:rsidRPr="00161607" w14:paraId="5ED8C023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54FBB04D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56A751CA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#1</w:t>
            </w:r>
          </w:p>
        </w:tc>
        <w:tc>
          <w:tcPr>
            <w:tcW w:w="7068" w:type="dxa"/>
            <w:vAlign w:val="center"/>
            <w:hideMark/>
          </w:tcPr>
          <w:p w14:paraId="6BF987B9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“headache” [Title/Abstract] OR “head pain” [Title/Abstract] OR “head ache” [Title/Abstract] OR “cephalalgia” [Title/Abstract] OR “cephalgia” [Title/Abstract] OR “migraine” [Title/Abstract] OR “</w:t>
            </w:r>
            <w:proofErr w:type="spellStart"/>
            <w:r w:rsidRPr="00161607">
              <w:t>cephalodynia</w:t>
            </w:r>
            <w:proofErr w:type="spellEnd"/>
            <w:r w:rsidRPr="00161607">
              <w:t>” [Title/Abstract] OR “cranial pain” [Title/Abstract] OR “hemicranias” [Title/Abstract] OR “cerebral pain” [Title/Abstract] OR “</w:t>
            </w:r>
            <w:proofErr w:type="spellStart"/>
            <w:r w:rsidRPr="00161607">
              <w:t>cranialgca</w:t>
            </w:r>
            <w:proofErr w:type="spellEnd"/>
            <w:r w:rsidRPr="00161607">
              <w:t>” [Title/Abstract] OR “headache” [</w:t>
            </w:r>
            <w:proofErr w:type="spellStart"/>
            <w:r w:rsidRPr="00161607">
              <w:t>MeSH</w:t>
            </w:r>
            <w:proofErr w:type="spellEnd"/>
            <w:r w:rsidRPr="00161607">
              <w:t xml:space="preserve"> Terms]</w:t>
            </w:r>
          </w:p>
        </w:tc>
      </w:tr>
      <w:tr w:rsidR="00F43E6C" w:rsidRPr="00161607" w14:paraId="60B7744A" w14:textId="77777777" w:rsidTr="00A162D5">
        <w:trPr>
          <w:trHeight w:val="283"/>
          <w:jc w:val="center"/>
        </w:trPr>
        <w:tc>
          <w:tcPr>
            <w:tcW w:w="9353" w:type="dxa"/>
            <w:gridSpan w:val="3"/>
            <w:vAlign w:val="center"/>
          </w:tcPr>
          <w:p w14:paraId="3C4FE957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Embase</w:t>
            </w:r>
          </w:p>
        </w:tc>
      </w:tr>
      <w:tr w:rsidR="00F43E6C" w:rsidRPr="00161607" w14:paraId="6E4E4395" w14:textId="77777777" w:rsidTr="00A162D5">
        <w:trPr>
          <w:trHeight w:val="283"/>
          <w:jc w:val="center"/>
        </w:trPr>
        <w:tc>
          <w:tcPr>
            <w:tcW w:w="763" w:type="dxa"/>
            <w:vMerge w:val="restart"/>
            <w:noWrap/>
            <w:vAlign w:val="center"/>
          </w:tcPr>
          <w:p w14:paraId="78F511DF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6CBB93CA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#14</w:t>
            </w:r>
          </w:p>
        </w:tc>
        <w:tc>
          <w:tcPr>
            <w:tcW w:w="7068" w:type="dxa"/>
            <w:noWrap/>
            <w:vAlign w:val="center"/>
            <w:hideMark/>
          </w:tcPr>
          <w:p w14:paraId="7321AF48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#7 AND #13</w:t>
            </w:r>
          </w:p>
        </w:tc>
      </w:tr>
      <w:tr w:rsidR="00F43E6C" w:rsidRPr="00161607" w14:paraId="38CFDDF8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4B8390A8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11515BAB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#13</w:t>
            </w:r>
          </w:p>
        </w:tc>
        <w:tc>
          <w:tcPr>
            <w:tcW w:w="7068" w:type="dxa"/>
            <w:noWrap/>
            <w:vAlign w:val="center"/>
            <w:hideMark/>
          </w:tcPr>
          <w:p w14:paraId="79367267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#12 OR #10</w:t>
            </w:r>
          </w:p>
        </w:tc>
      </w:tr>
      <w:tr w:rsidR="00F43E6C" w:rsidRPr="00161607" w14:paraId="11B10E1D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19833303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5948AB3E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#12</w:t>
            </w:r>
          </w:p>
        </w:tc>
        <w:tc>
          <w:tcPr>
            <w:tcW w:w="7068" w:type="dxa"/>
            <w:noWrap/>
            <w:vAlign w:val="center"/>
            <w:hideMark/>
          </w:tcPr>
          <w:p w14:paraId="53DE495B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#3 AND #11</w:t>
            </w:r>
          </w:p>
        </w:tc>
      </w:tr>
      <w:tr w:rsidR="00F43E6C" w:rsidRPr="00161607" w14:paraId="41C3869E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50773125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07A544A4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#11</w:t>
            </w:r>
          </w:p>
        </w:tc>
        <w:tc>
          <w:tcPr>
            <w:tcW w:w="7068" w:type="dxa"/>
            <w:noWrap/>
            <w:vAlign w:val="center"/>
            <w:hideMark/>
          </w:tcPr>
          <w:p w14:paraId="6A470624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#8 OR #9</w:t>
            </w:r>
          </w:p>
        </w:tc>
      </w:tr>
      <w:tr w:rsidR="00F43E6C" w:rsidRPr="00161607" w14:paraId="6E13571E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051038B0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5A5B70E2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#10</w:t>
            </w:r>
          </w:p>
        </w:tc>
        <w:tc>
          <w:tcPr>
            <w:tcW w:w="7068" w:type="dxa"/>
            <w:noWrap/>
            <w:vAlign w:val="center"/>
            <w:hideMark/>
          </w:tcPr>
          <w:p w14:paraId="010669BE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tension-type headache'/exp</w:t>
            </w:r>
          </w:p>
        </w:tc>
      </w:tr>
      <w:tr w:rsidR="00F43E6C" w:rsidRPr="00161607" w14:paraId="69A86DCB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77020378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234C1BCA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#9</w:t>
            </w:r>
          </w:p>
        </w:tc>
        <w:tc>
          <w:tcPr>
            <w:tcW w:w="7068" w:type="dxa"/>
            <w:noWrap/>
            <w:vAlign w:val="center"/>
            <w:hideMark/>
          </w:tcPr>
          <w:p w14:paraId="39D2DE56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 xml:space="preserve">tension': ab, </w:t>
            </w:r>
            <w:proofErr w:type="spellStart"/>
            <w:r w:rsidRPr="00161607">
              <w:t>ti</w:t>
            </w:r>
            <w:proofErr w:type="spellEnd"/>
          </w:p>
        </w:tc>
      </w:tr>
      <w:tr w:rsidR="00F43E6C" w:rsidRPr="00161607" w14:paraId="3BA2F39C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7D88FBCE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0B30FFBB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#8</w:t>
            </w:r>
          </w:p>
        </w:tc>
        <w:tc>
          <w:tcPr>
            <w:tcW w:w="7068" w:type="dxa"/>
            <w:noWrap/>
            <w:vAlign w:val="center"/>
            <w:hideMark/>
          </w:tcPr>
          <w:p w14:paraId="71CF6001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 xml:space="preserve">tension-type': ab, </w:t>
            </w:r>
            <w:proofErr w:type="spellStart"/>
            <w:r w:rsidRPr="00161607">
              <w:t>ti</w:t>
            </w:r>
            <w:proofErr w:type="spellEnd"/>
          </w:p>
        </w:tc>
      </w:tr>
      <w:tr w:rsidR="00F43E6C" w:rsidRPr="00161607" w14:paraId="145A89DF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75687B37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444BDB20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#7</w:t>
            </w:r>
          </w:p>
        </w:tc>
        <w:tc>
          <w:tcPr>
            <w:tcW w:w="7068" w:type="dxa"/>
            <w:noWrap/>
            <w:vAlign w:val="center"/>
            <w:hideMark/>
          </w:tcPr>
          <w:p w14:paraId="2D223511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#4 OR #5 OR #6</w:t>
            </w:r>
          </w:p>
        </w:tc>
      </w:tr>
      <w:tr w:rsidR="00F43E6C" w:rsidRPr="00161607" w14:paraId="67A2026C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7067E86E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5D4CBB8C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#6</w:t>
            </w:r>
          </w:p>
        </w:tc>
        <w:tc>
          <w:tcPr>
            <w:tcW w:w="7068" w:type="dxa"/>
            <w:noWrap/>
            <w:vAlign w:val="center"/>
            <w:hideMark/>
          </w:tcPr>
          <w:p w14:paraId="63C3BFCD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acupuncture'/exp</w:t>
            </w:r>
          </w:p>
        </w:tc>
      </w:tr>
      <w:tr w:rsidR="00F43E6C" w:rsidRPr="00161607" w14:paraId="3F33FE96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4D43D91A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3EEC9B8E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#5</w:t>
            </w:r>
          </w:p>
        </w:tc>
        <w:tc>
          <w:tcPr>
            <w:tcW w:w="7068" w:type="dxa"/>
            <w:noWrap/>
            <w:vAlign w:val="center"/>
            <w:hideMark/>
          </w:tcPr>
          <w:p w14:paraId="161859A6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acupuncture therapy'/exp</w:t>
            </w:r>
          </w:p>
        </w:tc>
      </w:tr>
      <w:tr w:rsidR="00F43E6C" w:rsidRPr="00161607" w14:paraId="6232A25B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48BA8CB2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37B45817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#4</w:t>
            </w:r>
          </w:p>
        </w:tc>
        <w:tc>
          <w:tcPr>
            <w:tcW w:w="7068" w:type="dxa"/>
            <w:noWrap/>
            <w:vAlign w:val="center"/>
            <w:hideMark/>
          </w:tcPr>
          <w:p w14:paraId="1CA43284" w14:textId="4E5E3C20" w:rsidR="00F43E6C" w:rsidRPr="00161607" w:rsidRDefault="00F43E6C" w:rsidP="009A4613">
            <w:pPr>
              <w:ind w:firstLineChars="0" w:firstLine="0"/>
              <w:jc w:val="center"/>
            </w:pPr>
            <w:r w:rsidRPr="00161607">
              <w:t xml:space="preserve">acupuncture': ab, </w:t>
            </w:r>
            <w:proofErr w:type="spellStart"/>
            <w:r w:rsidRPr="00161607">
              <w:t>ti</w:t>
            </w:r>
            <w:proofErr w:type="spellEnd"/>
            <w:r w:rsidRPr="00161607">
              <w:t xml:space="preserve"> OR </w:t>
            </w:r>
            <w:r w:rsidR="004107AB" w:rsidRPr="00161607">
              <w:t>“</w:t>
            </w:r>
            <w:r w:rsidRPr="00161607">
              <w:t>electroacupuncture</w:t>
            </w:r>
            <w:r w:rsidR="004107AB" w:rsidRPr="00161607">
              <w:t>”</w:t>
            </w:r>
            <w:r w:rsidRPr="00161607">
              <w:t xml:space="preserve">: ab, </w:t>
            </w:r>
            <w:proofErr w:type="spellStart"/>
            <w:r w:rsidRPr="00161607">
              <w:t>ti</w:t>
            </w:r>
            <w:proofErr w:type="spellEnd"/>
            <w:r w:rsidRPr="00161607">
              <w:t xml:space="preserve"> OR </w:t>
            </w:r>
            <w:r w:rsidR="009A4613" w:rsidRPr="00161607">
              <w:t>“</w:t>
            </w:r>
            <w:r w:rsidRPr="00161607">
              <w:t>electro-acupuncture</w:t>
            </w:r>
            <w:r w:rsidR="009A4613" w:rsidRPr="00161607">
              <w:t>”</w:t>
            </w:r>
            <w:r w:rsidRPr="00161607">
              <w:t xml:space="preserve">: ab, </w:t>
            </w:r>
            <w:proofErr w:type="spellStart"/>
            <w:r w:rsidRPr="00161607">
              <w:t>ti</w:t>
            </w:r>
            <w:proofErr w:type="spellEnd"/>
          </w:p>
        </w:tc>
      </w:tr>
      <w:tr w:rsidR="00F43E6C" w:rsidRPr="00161607" w14:paraId="513A215F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4B8B63EF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3D85B0B9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#3</w:t>
            </w:r>
          </w:p>
        </w:tc>
        <w:tc>
          <w:tcPr>
            <w:tcW w:w="7068" w:type="dxa"/>
            <w:noWrap/>
            <w:vAlign w:val="center"/>
            <w:hideMark/>
          </w:tcPr>
          <w:p w14:paraId="4CD98E6F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#1 OR #2</w:t>
            </w:r>
          </w:p>
        </w:tc>
      </w:tr>
      <w:tr w:rsidR="00F43E6C" w:rsidRPr="00161607" w14:paraId="59D6D0E4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3E1F2CAD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4D01C9A8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#2</w:t>
            </w:r>
          </w:p>
        </w:tc>
        <w:tc>
          <w:tcPr>
            <w:tcW w:w="7068" w:type="dxa"/>
            <w:noWrap/>
            <w:vAlign w:val="center"/>
            <w:hideMark/>
          </w:tcPr>
          <w:p w14:paraId="58A1FF95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headache'/exp</w:t>
            </w:r>
          </w:p>
        </w:tc>
      </w:tr>
      <w:tr w:rsidR="00F43E6C" w:rsidRPr="00161607" w14:paraId="3B27D9CC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2118ABE6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4A874DB4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#1</w:t>
            </w:r>
          </w:p>
        </w:tc>
        <w:tc>
          <w:tcPr>
            <w:tcW w:w="7068" w:type="dxa"/>
            <w:vAlign w:val="center"/>
            <w:hideMark/>
          </w:tcPr>
          <w:p w14:paraId="43BCC03E" w14:textId="03E37F58" w:rsidR="00F43E6C" w:rsidRPr="00161607" w:rsidRDefault="00F43E6C" w:rsidP="009A4613">
            <w:pPr>
              <w:ind w:firstLineChars="0" w:firstLine="0"/>
              <w:jc w:val="center"/>
            </w:pPr>
            <w:r w:rsidRPr="00161607">
              <w:t xml:space="preserve">headache': ab, </w:t>
            </w:r>
            <w:proofErr w:type="spellStart"/>
            <w:r w:rsidRPr="00161607">
              <w:t>ti</w:t>
            </w:r>
            <w:proofErr w:type="spellEnd"/>
            <w:r w:rsidRPr="00161607">
              <w:t xml:space="preserve"> OR </w:t>
            </w:r>
            <w:r w:rsidR="009A4613" w:rsidRPr="00161607">
              <w:t>“</w:t>
            </w:r>
            <w:r w:rsidRPr="00161607">
              <w:t>head pain</w:t>
            </w:r>
            <w:r w:rsidR="009A4613" w:rsidRPr="00161607">
              <w:t>”</w:t>
            </w:r>
            <w:r w:rsidRPr="00161607">
              <w:t xml:space="preserve">: ab, </w:t>
            </w:r>
            <w:proofErr w:type="spellStart"/>
            <w:r w:rsidRPr="00161607">
              <w:t>ti</w:t>
            </w:r>
            <w:proofErr w:type="spellEnd"/>
            <w:r w:rsidRPr="00161607">
              <w:t xml:space="preserve"> OR </w:t>
            </w:r>
            <w:r w:rsidR="009A4613" w:rsidRPr="00161607">
              <w:t>“</w:t>
            </w:r>
            <w:r w:rsidRPr="00161607">
              <w:t>head ache</w:t>
            </w:r>
            <w:r w:rsidR="009A4613" w:rsidRPr="00161607">
              <w:t>”</w:t>
            </w:r>
            <w:r w:rsidRPr="00161607">
              <w:t xml:space="preserve">: ab, </w:t>
            </w:r>
            <w:proofErr w:type="spellStart"/>
            <w:r w:rsidRPr="00161607">
              <w:t>ti</w:t>
            </w:r>
            <w:proofErr w:type="spellEnd"/>
            <w:r w:rsidRPr="00161607">
              <w:t xml:space="preserve"> OR </w:t>
            </w:r>
            <w:r w:rsidR="009A4613" w:rsidRPr="00161607">
              <w:t>“</w:t>
            </w:r>
            <w:r w:rsidRPr="00161607">
              <w:t>cephalalgia</w:t>
            </w:r>
            <w:r w:rsidR="009A4613" w:rsidRPr="00161607">
              <w:t>”</w:t>
            </w:r>
            <w:r w:rsidRPr="00161607">
              <w:t xml:space="preserve">: ab, </w:t>
            </w:r>
            <w:proofErr w:type="spellStart"/>
            <w:r w:rsidRPr="00161607">
              <w:t>ti</w:t>
            </w:r>
            <w:proofErr w:type="spellEnd"/>
            <w:r w:rsidRPr="00161607">
              <w:t xml:space="preserve"> OR </w:t>
            </w:r>
            <w:r w:rsidR="009A4613" w:rsidRPr="00161607">
              <w:t>“</w:t>
            </w:r>
            <w:r w:rsidRPr="00161607">
              <w:t>cephalgia</w:t>
            </w:r>
            <w:r w:rsidR="009A4613" w:rsidRPr="00161607">
              <w:t>”</w:t>
            </w:r>
            <w:r w:rsidRPr="00161607">
              <w:t xml:space="preserve">: ab, </w:t>
            </w:r>
            <w:proofErr w:type="spellStart"/>
            <w:r w:rsidRPr="00161607">
              <w:t>ti</w:t>
            </w:r>
            <w:proofErr w:type="spellEnd"/>
            <w:r w:rsidRPr="00161607">
              <w:t xml:space="preserve"> OR </w:t>
            </w:r>
            <w:r w:rsidR="009A4613" w:rsidRPr="00161607">
              <w:t>“</w:t>
            </w:r>
            <w:r w:rsidRPr="00161607">
              <w:t>migraine</w:t>
            </w:r>
            <w:r w:rsidR="009A4613" w:rsidRPr="00161607">
              <w:t>”</w:t>
            </w:r>
            <w:r w:rsidRPr="00161607">
              <w:t xml:space="preserve">: ab, </w:t>
            </w:r>
            <w:proofErr w:type="spellStart"/>
            <w:r w:rsidRPr="00161607">
              <w:t>ti</w:t>
            </w:r>
            <w:proofErr w:type="spellEnd"/>
            <w:r w:rsidRPr="00161607">
              <w:t xml:space="preserve"> OR </w:t>
            </w:r>
            <w:r w:rsidR="009A4613" w:rsidRPr="00161607">
              <w:t>“</w:t>
            </w:r>
            <w:proofErr w:type="spellStart"/>
            <w:r w:rsidRPr="00161607">
              <w:t>cephalodynia</w:t>
            </w:r>
            <w:proofErr w:type="spellEnd"/>
            <w:r w:rsidR="009A4613" w:rsidRPr="00161607">
              <w:t>”</w:t>
            </w:r>
            <w:r w:rsidRPr="00161607">
              <w:t xml:space="preserve">: ab, </w:t>
            </w:r>
            <w:proofErr w:type="spellStart"/>
            <w:r w:rsidRPr="00161607">
              <w:t>ti</w:t>
            </w:r>
            <w:proofErr w:type="spellEnd"/>
            <w:r w:rsidRPr="00161607">
              <w:t xml:space="preserve"> OR </w:t>
            </w:r>
            <w:r w:rsidR="009A4613" w:rsidRPr="00161607">
              <w:t>“</w:t>
            </w:r>
            <w:r w:rsidRPr="00161607">
              <w:t>cranial pain</w:t>
            </w:r>
            <w:r w:rsidR="009A4613" w:rsidRPr="00161607">
              <w:t>”</w:t>
            </w:r>
            <w:r w:rsidRPr="00161607">
              <w:t xml:space="preserve">: ab, </w:t>
            </w:r>
            <w:proofErr w:type="spellStart"/>
            <w:r w:rsidRPr="00161607">
              <w:t>ti</w:t>
            </w:r>
            <w:proofErr w:type="spellEnd"/>
            <w:r w:rsidRPr="00161607">
              <w:t xml:space="preserve"> OR </w:t>
            </w:r>
            <w:r w:rsidR="009A4613" w:rsidRPr="00161607">
              <w:t>“</w:t>
            </w:r>
            <w:proofErr w:type="spellStart"/>
            <w:r w:rsidRPr="00161607">
              <w:t>hemicranias</w:t>
            </w:r>
            <w:proofErr w:type="spellEnd"/>
            <w:r w:rsidR="009A4613" w:rsidRPr="00161607">
              <w:t>”</w:t>
            </w:r>
            <w:r w:rsidRPr="00161607">
              <w:t xml:space="preserve">: ab, </w:t>
            </w:r>
            <w:proofErr w:type="spellStart"/>
            <w:r w:rsidRPr="00161607">
              <w:t>ti</w:t>
            </w:r>
            <w:proofErr w:type="spellEnd"/>
            <w:r w:rsidRPr="00161607">
              <w:t xml:space="preserve"> OR </w:t>
            </w:r>
            <w:r w:rsidR="009A4613" w:rsidRPr="00161607">
              <w:t>“</w:t>
            </w:r>
            <w:r w:rsidRPr="00161607">
              <w:t>cerebral pain</w:t>
            </w:r>
            <w:r w:rsidR="009A4613" w:rsidRPr="00161607">
              <w:t>”</w:t>
            </w:r>
            <w:r w:rsidRPr="00161607">
              <w:t xml:space="preserve">: ab, </w:t>
            </w:r>
            <w:proofErr w:type="spellStart"/>
            <w:r w:rsidRPr="00161607">
              <w:t>ti</w:t>
            </w:r>
            <w:proofErr w:type="spellEnd"/>
            <w:r w:rsidRPr="00161607">
              <w:t xml:space="preserve"> OR </w:t>
            </w:r>
            <w:r w:rsidR="009A4613" w:rsidRPr="00161607">
              <w:t>“</w:t>
            </w:r>
            <w:proofErr w:type="spellStart"/>
            <w:r w:rsidRPr="00161607">
              <w:t>cranialgia</w:t>
            </w:r>
            <w:proofErr w:type="spellEnd"/>
            <w:r w:rsidR="009A4613" w:rsidRPr="00161607">
              <w:t>”</w:t>
            </w:r>
            <w:r w:rsidRPr="00161607">
              <w:t xml:space="preserve">: ab, </w:t>
            </w:r>
            <w:proofErr w:type="spellStart"/>
            <w:r w:rsidRPr="00161607">
              <w:t>ti</w:t>
            </w:r>
            <w:proofErr w:type="spellEnd"/>
          </w:p>
        </w:tc>
      </w:tr>
      <w:tr w:rsidR="00F43E6C" w:rsidRPr="00161607" w14:paraId="315A3050" w14:textId="77777777" w:rsidTr="00A162D5">
        <w:trPr>
          <w:trHeight w:val="283"/>
          <w:jc w:val="center"/>
        </w:trPr>
        <w:tc>
          <w:tcPr>
            <w:tcW w:w="9353" w:type="dxa"/>
            <w:gridSpan w:val="3"/>
            <w:vAlign w:val="center"/>
          </w:tcPr>
          <w:p w14:paraId="02DB47B2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Cochrane Library</w:t>
            </w:r>
          </w:p>
        </w:tc>
      </w:tr>
      <w:tr w:rsidR="00F43E6C" w:rsidRPr="00161607" w14:paraId="109AEBDB" w14:textId="77777777" w:rsidTr="00A162D5">
        <w:trPr>
          <w:trHeight w:val="283"/>
          <w:jc w:val="center"/>
        </w:trPr>
        <w:tc>
          <w:tcPr>
            <w:tcW w:w="763" w:type="dxa"/>
            <w:vMerge w:val="restart"/>
            <w:noWrap/>
            <w:vAlign w:val="center"/>
          </w:tcPr>
          <w:p w14:paraId="6BFC2CD4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4450A199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#1</w:t>
            </w:r>
          </w:p>
        </w:tc>
        <w:tc>
          <w:tcPr>
            <w:tcW w:w="7068" w:type="dxa"/>
            <w:vAlign w:val="center"/>
            <w:hideMark/>
          </w:tcPr>
          <w:p w14:paraId="645449AA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 xml:space="preserve">headache OR head pain OR head ache OR cephalalgia OR cephalgia OR migraine OR </w:t>
            </w:r>
            <w:proofErr w:type="spellStart"/>
            <w:r w:rsidRPr="00161607">
              <w:t>cephalodynia</w:t>
            </w:r>
            <w:proofErr w:type="spellEnd"/>
            <w:r w:rsidRPr="00161607">
              <w:t xml:space="preserve"> OR cranial pain OR hemicranias OR cerebral pain OR </w:t>
            </w:r>
            <w:proofErr w:type="spellStart"/>
            <w:r w:rsidRPr="00161607">
              <w:t>cranialgca</w:t>
            </w:r>
            <w:proofErr w:type="spellEnd"/>
          </w:p>
        </w:tc>
      </w:tr>
      <w:tr w:rsidR="00F43E6C" w:rsidRPr="00161607" w14:paraId="5AFCE883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2256F605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7D28DFE6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#2</w:t>
            </w:r>
          </w:p>
        </w:tc>
        <w:tc>
          <w:tcPr>
            <w:tcW w:w="7068" w:type="dxa"/>
            <w:noWrap/>
            <w:vAlign w:val="center"/>
            <w:hideMark/>
          </w:tcPr>
          <w:p w14:paraId="242282B4" w14:textId="77777777" w:rsidR="00F43E6C" w:rsidRPr="00161607" w:rsidRDefault="00F43E6C" w:rsidP="00A162D5">
            <w:pPr>
              <w:ind w:firstLineChars="0" w:firstLine="0"/>
              <w:jc w:val="center"/>
            </w:pPr>
            <w:proofErr w:type="spellStart"/>
            <w:r w:rsidRPr="00161607">
              <w:t>MeSH</w:t>
            </w:r>
            <w:proofErr w:type="spellEnd"/>
            <w:r w:rsidRPr="00161607">
              <w:t xml:space="preserve"> descriptor: [Headache] explode all trees</w:t>
            </w:r>
          </w:p>
        </w:tc>
      </w:tr>
      <w:tr w:rsidR="00F43E6C" w:rsidRPr="00161607" w14:paraId="56429E0F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3370E17A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0C86D0C7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#3</w:t>
            </w:r>
          </w:p>
        </w:tc>
        <w:tc>
          <w:tcPr>
            <w:tcW w:w="7068" w:type="dxa"/>
            <w:noWrap/>
            <w:vAlign w:val="center"/>
            <w:hideMark/>
          </w:tcPr>
          <w:p w14:paraId="2B041266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#1 OR #2</w:t>
            </w:r>
          </w:p>
        </w:tc>
      </w:tr>
      <w:tr w:rsidR="00F43E6C" w:rsidRPr="00161607" w14:paraId="470D05BE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54B67878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77387752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#4</w:t>
            </w:r>
          </w:p>
        </w:tc>
        <w:tc>
          <w:tcPr>
            <w:tcW w:w="7068" w:type="dxa"/>
            <w:noWrap/>
            <w:vAlign w:val="center"/>
            <w:hideMark/>
          </w:tcPr>
          <w:p w14:paraId="4C467BED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acupuncture OR electroacupuncture OR electro-acupuncture</w:t>
            </w:r>
          </w:p>
        </w:tc>
      </w:tr>
      <w:tr w:rsidR="00F43E6C" w:rsidRPr="00161607" w14:paraId="7BDFAB35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59A23146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3E492FCF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#5</w:t>
            </w:r>
          </w:p>
        </w:tc>
        <w:tc>
          <w:tcPr>
            <w:tcW w:w="7068" w:type="dxa"/>
            <w:noWrap/>
            <w:vAlign w:val="center"/>
            <w:hideMark/>
          </w:tcPr>
          <w:p w14:paraId="18BBE8D3" w14:textId="77777777" w:rsidR="00F43E6C" w:rsidRPr="00161607" w:rsidRDefault="00F43E6C" w:rsidP="00A162D5">
            <w:pPr>
              <w:ind w:firstLineChars="0" w:firstLine="0"/>
              <w:jc w:val="center"/>
            </w:pPr>
            <w:proofErr w:type="spellStart"/>
            <w:r w:rsidRPr="00161607">
              <w:t>MeSH</w:t>
            </w:r>
            <w:proofErr w:type="spellEnd"/>
            <w:r w:rsidRPr="00161607">
              <w:t xml:space="preserve"> descriptor: [Acupuncture] explode all trees</w:t>
            </w:r>
          </w:p>
        </w:tc>
      </w:tr>
      <w:tr w:rsidR="00F43E6C" w:rsidRPr="00161607" w14:paraId="69510E8D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4EB8182C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07843D02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#6</w:t>
            </w:r>
          </w:p>
        </w:tc>
        <w:tc>
          <w:tcPr>
            <w:tcW w:w="7068" w:type="dxa"/>
            <w:noWrap/>
            <w:vAlign w:val="center"/>
            <w:hideMark/>
          </w:tcPr>
          <w:p w14:paraId="77253437" w14:textId="77777777" w:rsidR="00F43E6C" w:rsidRPr="00161607" w:rsidRDefault="00F43E6C" w:rsidP="00A162D5">
            <w:pPr>
              <w:ind w:firstLineChars="0" w:firstLine="0"/>
              <w:jc w:val="center"/>
            </w:pPr>
            <w:proofErr w:type="spellStart"/>
            <w:r w:rsidRPr="00161607">
              <w:t>MeSH</w:t>
            </w:r>
            <w:proofErr w:type="spellEnd"/>
            <w:r w:rsidRPr="00161607">
              <w:t xml:space="preserve"> descriptor: [Acupuncture Therapy] explode all trees</w:t>
            </w:r>
          </w:p>
        </w:tc>
      </w:tr>
      <w:tr w:rsidR="00F43E6C" w:rsidRPr="00161607" w14:paraId="406205AC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65A818B4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7CC8974A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#7</w:t>
            </w:r>
          </w:p>
        </w:tc>
        <w:tc>
          <w:tcPr>
            <w:tcW w:w="7068" w:type="dxa"/>
            <w:noWrap/>
            <w:vAlign w:val="center"/>
            <w:hideMark/>
          </w:tcPr>
          <w:p w14:paraId="3660F349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#4 OR #5 OR #6</w:t>
            </w:r>
          </w:p>
        </w:tc>
      </w:tr>
      <w:tr w:rsidR="00F43E6C" w:rsidRPr="00161607" w14:paraId="14DD413F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0B805C46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5660932A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#8</w:t>
            </w:r>
          </w:p>
        </w:tc>
        <w:tc>
          <w:tcPr>
            <w:tcW w:w="7068" w:type="dxa"/>
            <w:noWrap/>
            <w:vAlign w:val="center"/>
            <w:hideMark/>
          </w:tcPr>
          <w:p w14:paraId="51FA92C4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tension-type</w:t>
            </w:r>
          </w:p>
        </w:tc>
      </w:tr>
      <w:tr w:rsidR="00F43E6C" w:rsidRPr="00161607" w14:paraId="7EBD46D2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071CD1C7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77A86222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#9</w:t>
            </w:r>
          </w:p>
        </w:tc>
        <w:tc>
          <w:tcPr>
            <w:tcW w:w="7068" w:type="dxa"/>
            <w:noWrap/>
            <w:vAlign w:val="center"/>
            <w:hideMark/>
          </w:tcPr>
          <w:p w14:paraId="11C99DF4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tension</w:t>
            </w:r>
          </w:p>
        </w:tc>
      </w:tr>
      <w:tr w:rsidR="00F43E6C" w:rsidRPr="00161607" w14:paraId="756D7EF9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3E52D46F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0AAC80C4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#10</w:t>
            </w:r>
          </w:p>
        </w:tc>
        <w:tc>
          <w:tcPr>
            <w:tcW w:w="7068" w:type="dxa"/>
            <w:noWrap/>
            <w:vAlign w:val="center"/>
            <w:hideMark/>
          </w:tcPr>
          <w:p w14:paraId="16D49BE6" w14:textId="77777777" w:rsidR="00F43E6C" w:rsidRPr="00161607" w:rsidRDefault="00F43E6C" w:rsidP="00A162D5">
            <w:pPr>
              <w:ind w:firstLineChars="0" w:firstLine="0"/>
              <w:jc w:val="center"/>
            </w:pPr>
            <w:proofErr w:type="spellStart"/>
            <w:r w:rsidRPr="00161607">
              <w:t>MeSH</w:t>
            </w:r>
            <w:proofErr w:type="spellEnd"/>
            <w:r w:rsidRPr="00161607">
              <w:t xml:space="preserve"> descriptor: [Tension-Type Headache] explode all trees</w:t>
            </w:r>
          </w:p>
        </w:tc>
      </w:tr>
      <w:tr w:rsidR="00F43E6C" w:rsidRPr="00161607" w14:paraId="4545ADBC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04AD0E0C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7E0091EF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#11</w:t>
            </w:r>
          </w:p>
        </w:tc>
        <w:tc>
          <w:tcPr>
            <w:tcW w:w="7068" w:type="dxa"/>
            <w:noWrap/>
            <w:vAlign w:val="center"/>
            <w:hideMark/>
          </w:tcPr>
          <w:p w14:paraId="76EB8B23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#8 OR #9</w:t>
            </w:r>
          </w:p>
        </w:tc>
      </w:tr>
      <w:tr w:rsidR="00F43E6C" w:rsidRPr="00161607" w14:paraId="64248120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1D26CE0E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74BBB0DF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#12</w:t>
            </w:r>
          </w:p>
        </w:tc>
        <w:tc>
          <w:tcPr>
            <w:tcW w:w="7068" w:type="dxa"/>
            <w:noWrap/>
            <w:vAlign w:val="center"/>
            <w:hideMark/>
          </w:tcPr>
          <w:p w14:paraId="5F7D4748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#3 AND #11</w:t>
            </w:r>
          </w:p>
        </w:tc>
      </w:tr>
      <w:tr w:rsidR="00F43E6C" w:rsidRPr="00161607" w14:paraId="16271D2E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677A9F02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66330FA1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#13</w:t>
            </w:r>
          </w:p>
        </w:tc>
        <w:tc>
          <w:tcPr>
            <w:tcW w:w="7068" w:type="dxa"/>
            <w:noWrap/>
            <w:vAlign w:val="center"/>
            <w:hideMark/>
          </w:tcPr>
          <w:p w14:paraId="4FEB6FA6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#12 OR #10</w:t>
            </w:r>
          </w:p>
        </w:tc>
      </w:tr>
      <w:tr w:rsidR="00F43E6C" w:rsidRPr="00161607" w14:paraId="2616D5BE" w14:textId="77777777" w:rsidTr="00A162D5">
        <w:trPr>
          <w:trHeight w:val="283"/>
          <w:jc w:val="center"/>
        </w:trPr>
        <w:tc>
          <w:tcPr>
            <w:tcW w:w="763" w:type="dxa"/>
            <w:vMerge/>
            <w:noWrap/>
            <w:vAlign w:val="center"/>
          </w:tcPr>
          <w:p w14:paraId="75973A6F" w14:textId="77777777" w:rsidR="00F43E6C" w:rsidRPr="00161607" w:rsidRDefault="00F43E6C" w:rsidP="00A162D5">
            <w:pPr>
              <w:ind w:firstLineChars="0" w:firstLine="0"/>
              <w:jc w:val="left"/>
            </w:pPr>
          </w:p>
        </w:tc>
        <w:tc>
          <w:tcPr>
            <w:tcW w:w="1522" w:type="dxa"/>
            <w:vAlign w:val="center"/>
          </w:tcPr>
          <w:p w14:paraId="45A9B487" w14:textId="77777777" w:rsidR="00F43E6C" w:rsidRPr="00161607" w:rsidRDefault="00F43E6C" w:rsidP="00A162D5">
            <w:pPr>
              <w:ind w:firstLineChars="0" w:firstLine="0"/>
              <w:jc w:val="left"/>
            </w:pPr>
            <w:r w:rsidRPr="00161607">
              <w:t>#14</w:t>
            </w:r>
          </w:p>
        </w:tc>
        <w:tc>
          <w:tcPr>
            <w:tcW w:w="7068" w:type="dxa"/>
            <w:noWrap/>
            <w:vAlign w:val="center"/>
            <w:hideMark/>
          </w:tcPr>
          <w:p w14:paraId="1A7F70CB" w14:textId="77777777" w:rsidR="00F43E6C" w:rsidRPr="00161607" w:rsidRDefault="00F43E6C" w:rsidP="00A162D5">
            <w:pPr>
              <w:ind w:firstLineChars="0" w:firstLine="0"/>
              <w:jc w:val="center"/>
            </w:pPr>
            <w:r w:rsidRPr="00161607">
              <w:t>#7 AND #13</w:t>
            </w:r>
          </w:p>
        </w:tc>
      </w:tr>
    </w:tbl>
    <w:p w14:paraId="5512A420" w14:textId="3347B77C" w:rsidR="00F43E6C" w:rsidRPr="00161607" w:rsidRDefault="00F43E6C" w:rsidP="00ED4154">
      <w:pPr>
        <w:pStyle w:val="ac"/>
      </w:pPr>
      <w:proofErr w:type="spellStart"/>
      <w:r w:rsidRPr="00161607">
        <w:t>MeSH</w:t>
      </w:r>
      <w:proofErr w:type="spellEnd"/>
      <w:r w:rsidRPr="00161607">
        <w:t xml:space="preserve">: </w:t>
      </w:r>
      <w:r w:rsidR="005C3AA3" w:rsidRPr="00161607">
        <w:t>Medical Subject Headings</w:t>
      </w:r>
      <w:r w:rsidRPr="00161607">
        <w:t>.</w:t>
      </w:r>
    </w:p>
    <w:p w14:paraId="472F521E" w14:textId="77777777" w:rsidR="00F43E6C" w:rsidRPr="00161607" w:rsidRDefault="00F43E6C" w:rsidP="00ED4154">
      <w:pPr>
        <w:pStyle w:val="ac"/>
        <w:rPr>
          <w:rFonts w:eastAsia="宋体"/>
        </w:rPr>
      </w:pPr>
    </w:p>
    <w:p w14:paraId="7D6E115A" w14:textId="77777777" w:rsidR="00F43E6C" w:rsidRPr="00161607" w:rsidRDefault="00F43E6C" w:rsidP="00ED4154">
      <w:pPr>
        <w:pStyle w:val="ac"/>
        <w:rPr>
          <w:rFonts w:eastAsia="宋体"/>
        </w:rPr>
      </w:pPr>
    </w:p>
    <w:p w14:paraId="029C9C57" w14:textId="43FA56B7" w:rsidR="00F43E6C" w:rsidRPr="00161607" w:rsidRDefault="00FB3A94" w:rsidP="00ED4154">
      <w:pPr>
        <w:pStyle w:val="ab"/>
      </w:pPr>
      <w:r w:rsidRPr="00161607">
        <w:t>S</w:t>
      </w:r>
      <w:r w:rsidRPr="00161607">
        <w:rPr>
          <w:bCs/>
        </w:rPr>
        <w:t>upplementary Table 2</w:t>
      </w:r>
      <w:r w:rsidR="00F43E6C" w:rsidRPr="00161607">
        <w:t>. Subgroup analyses conducted within the 12-week post-treatment period compared headache frequency in the acupuncture.</w:t>
      </w:r>
    </w:p>
    <w:tbl>
      <w:tblPr>
        <w:tblW w:w="9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80"/>
        <w:gridCol w:w="1740"/>
        <w:gridCol w:w="1580"/>
        <w:gridCol w:w="1780"/>
        <w:gridCol w:w="1600"/>
      </w:tblGrid>
      <w:tr w:rsidR="00F43E6C" w:rsidRPr="00161607" w14:paraId="434D57D0" w14:textId="77777777" w:rsidTr="00A162D5">
        <w:trPr>
          <w:trHeight w:val="283"/>
          <w:jc w:val="center"/>
        </w:trPr>
        <w:tc>
          <w:tcPr>
            <w:tcW w:w="2580" w:type="dxa"/>
            <w:shd w:val="clear" w:color="auto" w:fill="auto"/>
            <w:vAlign w:val="center"/>
            <w:hideMark/>
          </w:tcPr>
          <w:p w14:paraId="4D2665C9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Subgroup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551BA1FE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No of articles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14:paraId="2022732E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SMD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4A96062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95% CI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14:paraId="50E3840A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i/>
                <w:iCs/>
                <w:color w:val="000000"/>
              </w:rPr>
              <w:t>p</w:t>
            </w:r>
            <w:r w:rsidRPr="00161607">
              <w:rPr>
                <w:rFonts w:eastAsia="PMingLiU"/>
                <w:color w:val="000000"/>
              </w:rPr>
              <w:t>-value</w:t>
            </w:r>
          </w:p>
        </w:tc>
      </w:tr>
      <w:tr w:rsidR="00F43E6C" w:rsidRPr="00161607" w14:paraId="125E7E62" w14:textId="77777777" w:rsidTr="00A162D5">
        <w:trPr>
          <w:trHeight w:val="283"/>
          <w:jc w:val="center"/>
        </w:trPr>
        <w:tc>
          <w:tcPr>
            <w:tcW w:w="2580" w:type="dxa"/>
            <w:shd w:val="clear" w:color="auto" w:fill="auto"/>
            <w:vAlign w:val="center"/>
            <w:hideMark/>
          </w:tcPr>
          <w:p w14:paraId="092E9AC9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Older than 45 years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5BF4CACA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2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14:paraId="591482F2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0.00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2F05669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t>−</w:t>
            </w:r>
            <w:r w:rsidRPr="00161607">
              <w:rPr>
                <w:rFonts w:eastAsia="PMingLiU"/>
                <w:color w:val="000000"/>
              </w:rPr>
              <w:t>0.37 to 0.38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14:paraId="592F9B1D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0.99</w:t>
            </w:r>
          </w:p>
        </w:tc>
      </w:tr>
      <w:tr w:rsidR="00F43E6C" w:rsidRPr="00161607" w14:paraId="0E6FE0CC" w14:textId="77777777" w:rsidTr="00A162D5">
        <w:trPr>
          <w:trHeight w:val="283"/>
          <w:jc w:val="center"/>
        </w:trPr>
        <w:tc>
          <w:tcPr>
            <w:tcW w:w="2580" w:type="dxa"/>
            <w:shd w:val="clear" w:color="auto" w:fill="auto"/>
            <w:vAlign w:val="center"/>
            <w:hideMark/>
          </w:tcPr>
          <w:p w14:paraId="4E232DB9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Young than 45 years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369DEDEC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2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14:paraId="63BD36CC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bookmarkStart w:id="1" w:name="_Hlk204592964"/>
            <w:r w:rsidRPr="00161607">
              <w:t>−</w:t>
            </w:r>
            <w:bookmarkEnd w:id="1"/>
            <w:r w:rsidRPr="00161607">
              <w:rPr>
                <w:rFonts w:eastAsia="PMingLiU"/>
                <w:color w:val="000000"/>
              </w:rPr>
              <w:t>2.25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CEC158F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t>−</w:t>
            </w:r>
            <w:r w:rsidRPr="00161607">
              <w:rPr>
                <w:rFonts w:eastAsia="PMingLiU"/>
                <w:color w:val="000000"/>
              </w:rPr>
              <w:t>6.05 to 1.55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14:paraId="38040CE8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0.25</w:t>
            </w:r>
          </w:p>
        </w:tc>
      </w:tr>
      <w:tr w:rsidR="00F43E6C" w:rsidRPr="00161607" w14:paraId="2643AB50" w14:textId="77777777" w:rsidTr="00A162D5">
        <w:trPr>
          <w:trHeight w:val="283"/>
          <w:jc w:val="center"/>
        </w:trPr>
        <w:tc>
          <w:tcPr>
            <w:tcW w:w="2580" w:type="dxa"/>
            <w:shd w:val="clear" w:color="auto" w:fill="auto"/>
            <w:vAlign w:val="center"/>
            <w:hideMark/>
          </w:tcPr>
          <w:p w14:paraId="750FB4A5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Test for subgroup differences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7692032B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14:paraId="5A9071BF" w14:textId="77777777" w:rsidR="00F43E6C" w:rsidRPr="00161607" w:rsidRDefault="00F43E6C" w:rsidP="00A162D5">
            <w:pPr>
              <w:ind w:firstLineChars="0" w:firstLine="0"/>
              <w:jc w:val="center"/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268803B" w14:textId="77777777" w:rsidR="00F43E6C" w:rsidRPr="00161607" w:rsidRDefault="00F43E6C" w:rsidP="00A162D5">
            <w:pPr>
              <w:ind w:firstLineChars="0" w:firstLine="0"/>
              <w:jc w:val="center"/>
            </w:pP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14:paraId="2E0C3B17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0.18</w:t>
            </w:r>
          </w:p>
        </w:tc>
      </w:tr>
      <w:tr w:rsidR="00F43E6C" w:rsidRPr="00161607" w14:paraId="1C53CF63" w14:textId="77777777" w:rsidTr="00A162D5">
        <w:trPr>
          <w:trHeight w:val="283"/>
          <w:jc w:val="center"/>
        </w:trPr>
        <w:tc>
          <w:tcPr>
            <w:tcW w:w="2580" w:type="dxa"/>
            <w:shd w:val="clear" w:color="auto" w:fill="auto"/>
            <w:noWrap/>
            <w:vAlign w:val="center"/>
            <w:hideMark/>
          </w:tcPr>
          <w:p w14:paraId="0D0FDA42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CTTH and ETTH</w:t>
            </w:r>
          </w:p>
        </w:tc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3434C050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2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14:paraId="66C28897" w14:textId="30D72981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t>−</w:t>
            </w:r>
            <w:r w:rsidRPr="00161607">
              <w:rPr>
                <w:rFonts w:eastAsia="PMingLiU"/>
                <w:color w:val="000000"/>
              </w:rPr>
              <w:t>0.23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14:paraId="4FFEE64A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t>−</w:t>
            </w:r>
            <w:r w:rsidRPr="00161607">
              <w:rPr>
                <w:rFonts w:eastAsia="PMingLiU"/>
                <w:color w:val="000000"/>
              </w:rPr>
              <w:t>0.51 to 0.04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00D59222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0.10</w:t>
            </w:r>
          </w:p>
        </w:tc>
      </w:tr>
      <w:tr w:rsidR="00F43E6C" w:rsidRPr="00161607" w14:paraId="7704C7C6" w14:textId="77777777" w:rsidTr="00A162D5">
        <w:trPr>
          <w:trHeight w:val="283"/>
          <w:jc w:val="center"/>
        </w:trPr>
        <w:tc>
          <w:tcPr>
            <w:tcW w:w="2580" w:type="dxa"/>
            <w:shd w:val="clear" w:color="auto" w:fill="auto"/>
            <w:noWrap/>
            <w:vAlign w:val="center"/>
            <w:hideMark/>
          </w:tcPr>
          <w:p w14:paraId="5647C2CF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CTTH</w:t>
            </w:r>
          </w:p>
        </w:tc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1A096D3C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2</w:t>
            </w: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14:paraId="76B0537C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t>−</w:t>
            </w:r>
            <w:r w:rsidRPr="00161607">
              <w:rPr>
                <w:rFonts w:eastAsia="PMingLiU"/>
                <w:color w:val="000000"/>
              </w:rPr>
              <w:t>2.10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14:paraId="657FC131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t>−</w:t>
            </w:r>
            <w:r w:rsidRPr="00161607">
              <w:rPr>
                <w:rFonts w:eastAsia="PMingLiU"/>
                <w:color w:val="000000"/>
              </w:rPr>
              <w:t>6.22 to 2.03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71236C75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0.32</w:t>
            </w:r>
          </w:p>
        </w:tc>
      </w:tr>
      <w:tr w:rsidR="00F43E6C" w:rsidRPr="00161607" w14:paraId="5619EB9F" w14:textId="77777777" w:rsidTr="00A162D5">
        <w:trPr>
          <w:trHeight w:val="283"/>
          <w:jc w:val="center"/>
        </w:trPr>
        <w:tc>
          <w:tcPr>
            <w:tcW w:w="2580" w:type="dxa"/>
            <w:shd w:val="clear" w:color="auto" w:fill="auto"/>
            <w:vAlign w:val="center"/>
            <w:hideMark/>
          </w:tcPr>
          <w:p w14:paraId="0D710020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Test for subgroup differences</w:t>
            </w:r>
          </w:p>
        </w:tc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431E9594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</w:p>
        </w:tc>
        <w:tc>
          <w:tcPr>
            <w:tcW w:w="1580" w:type="dxa"/>
            <w:shd w:val="clear" w:color="auto" w:fill="auto"/>
            <w:noWrap/>
            <w:vAlign w:val="center"/>
            <w:hideMark/>
          </w:tcPr>
          <w:p w14:paraId="075D3353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14:paraId="1D86A17D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50EE03F0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0.18</w:t>
            </w:r>
          </w:p>
        </w:tc>
      </w:tr>
    </w:tbl>
    <w:p w14:paraId="3B712002" w14:textId="77777777" w:rsidR="00F43E6C" w:rsidRPr="00161607" w:rsidRDefault="00F43E6C" w:rsidP="00ED4154">
      <w:pPr>
        <w:pStyle w:val="ac"/>
      </w:pPr>
      <w:r w:rsidRPr="00161607">
        <w:rPr>
          <w:rFonts w:eastAsia="PMingLiU"/>
        </w:rPr>
        <w:t>SMD: standardized mean difference; CI: confidence interval; CTTH: chronic tension-type headache; ETTH: episodic tension-type headache.</w:t>
      </w:r>
    </w:p>
    <w:p w14:paraId="7DE5C01E" w14:textId="77777777" w:rsidR="00F43E6C" w:rsidRPr="00161607" w:rsidRDefault="00F43E6C" w:rsidP="00ED4154">
      <w:pPr>
        <w:pStyle w:val="ac"/>
      </w:pPr>
    </w:p>
    <w:p w14:paraId="72084578" w14:textId="77777777" w:rsidR="00F43E6C" w:rsidRPr="00161607" w:rsidRDefault="00F43E6C" w:rsidP="00ED4154">
      <w:pPr>
        <w:pStyle w:val="ac"/>
      </w:pPr>
    </w:p>
    <w:p w14:paraId="425DEF20" w14:textId="0D24C561" w:rsidR="00F43E6C" w:rsidRPr="00161607" w:rsidRDefault="00FB3A94" w:rsidP="00ED4154">
      <w:pPr>
        <w:pStyle w:val="ab"/>
      </w:pPr>
      <w:r w:rsidRPr="00161607">
        <w:t>S</w:t>
      </w:r>
      <w:r w:rsidRPr="00161607">
        <w:rPr>
          <w:bCs/>
        </w:rPr>
        <w:t>upplementary Table 3</w:t>
      </w:r>
      <w:r w:rsidR="00F43E6C" w:rsidRPr="00161607">
        <w:t>. Sensitivity analysis for headache frequency.</w:t>
      </w: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1371"/>
        <w:gridCol w:w="1229"/>
        <w:gridCol w:w="1447"/>
        <w:gridCol w:w="1182"/>
        <w:gridCol w:w="2866"/>
      </w:tblGrid>
      <w:tr w:rsidR="00F43E6C" w:rsidRPr="00161607" w14:paraId="0841FF54" w14:textId="77777777" w:rsidTr="00ED4154">
        <w:trPr>
          <w:trHeight w:val="283"/>
          <w:jc w:val="center"/>
        </w:trPr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14:paraId="28AB7312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Subgroup</w:t>
            </w:r>
          </w:p>
        </w:tc>
        <w:tc>
          <w:tcPr>
            <w:tcW w:w="5229" w:type="dxa"/>
            <w:gridSpan w:val="4"/>
            <w:shd w:val="clear" w:color="auto" w:fill="auto"/>
            <w:vAlign w:val="center"/>
            <w:hideMark/>
          </w:tcPr>
          <w:p w14:paraId="546A4836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Effect size</w:t>
            </w:r>
          </w:p>
        </w:tc>
        <w:tc>
          <w:tcPr>
            <w:tcW w:w="2866" w:type="dxa"/>
            <w:vMerge w:val="restart"/>
            <w:shd w:val="clear" w:color="auto" w:fill="auto"/>
            <w:vAlign w:val="center"/>
            <w:hideMark/>
          </w:tcPr>
          <w:p w14:paraId="0C61352F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Study removed</w:t>
            </w:r>
          </w:p>
        </w:tc>
      </w:tr>
      <w:tr w:rsidR="00F43E6C" w:rsidRPr="00161607" w14:paraId="5F87A034" w14:textId="77777777" w:rsidTr="00ED4154">
        <w:trPr>
          <w:trHeight w:val="283"/>
          <w:jc w:val="center"/>
        </w:trPr>
        <w:tc>
          <w:tcPr>
            <w:tcW w:w="1330" w:type="dxa"/>
            <w:vMerge/>
            <w:vAlign w:val="center"/>
            <w:hideMark/>
          </w:tcPr>
          <w:p w14:paraId="66ECF648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</w:p>
        </w:tc>
        <w:tc>
          <w:tcPr>
            <w:tcW w:w="1371" w:type="dxa"/>
            <w:shd w:val="clear" w:color="auto" w:fill="auto"/>
            <w:vAlign w:val="center"/>
            <w:hideMark/>
          </w:tcPr>
          <w:p w14:paraId="2BB10DE9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No. of articles</w:t>
            </w:r>
          </w:p>
        </w:tc>
        <w:tc>
          <w:tcPr>
            <w:tcW w:w="1229" w:type="dxa"/>
            <w:shd w:val="clear" w:color="auto" w:fill="auto"/>
            <w:vAlign w:val="center"/>
            <w:hideMark/>
          </w:tcPr>
          <w:p w14:paraId="426F70BF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SMD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84525B4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95% CI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14:paraId="1FC44DD3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i/>
                <w:iCs/>
                <w:color w:val="000000"/>
              </w:rPr>
              <w:t>p</w:t>
            </w:r>
            <w:r w:rsidRPr="00161607">
              <w:rPr>
                <w:rFonts w:eastAsia="PMingLiU"/>
                <w:color w:val="000000"/>
              </w:rPr>
              <w:t>-value</w:t>
            </w:r>
          </w:p>
        </w:tc>
        <w:tc>
          <w:tcPr>
            <w:tcW w:w="2866" w:type="dxa"/>
            <w:vMerge/>
            <w:vAlign w:val="center"/>
            <w:hideMark/>
          </w:tcPr>
          <w:p w14:paraId="48EA4C8D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</w:p>
        </w:tc>
      </w:tr>
      <w:tr w:rsidR="00F43E6C" w:rsidRPr="00161607" w14:paraId="044F6F1A" w14:textId="77777777" w:rsidTr="00ED4154">
        <w:trPr>
          <w:trHeight w:val="283"/>
          <w:jc w:val="center"/>
        </w:trPr>
        <w:tc>
          <w:tcPr>
            <w:tcW w:w="9425" w:type="dxa"/>
            <w:gridSpan w:val="6"/>
            <w:shd w:val="clear" w:color="auto" w:fill="auto"/>
            <w:vAlign w:val="center"/>
          </w:tcPr>
          <w:p w14:paraId="7119C2B4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The end of treatment</w:t>
            </w:r>
          </w:p>
        </w:tc>
      </w:tr>
      <w:tr w:rsidR="00F43E6C" w:rsidRPr="00161607" w14:paraId="4DCA7861" w14:textId="77777777" w:rsidTr="00ED4154">
        <w:trPr>
          <w:trHeight w:val="283"/>
          <w:jc w:val="center"/>
        </w:trPr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14:paraId="7665E7B9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</w:p>
        </w:tc>
        <w:tc>
          <w:tcPr>
            <w:tcW w:w="1371" w:type="dxa"/>
            <w:shd w:val="clear" w:color="auto" w:fill="auto"/>
            <w:vAlign w:val="center"/>
            <w:hideMark/>
          </w:tcPr>
          <w:p w14:paraId="3E7795A6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3</w:t>
            </w:r>
          </w:p>
        </w:tc>
        <w:tc>
          <w:tcPr>
            <w:tcW w:w="1229" w:type="dxa"/>
            <w:shd w:val="clear" w:color="auto" w:fill="auto"/>
            <w:vAlign w:val="center"/>
            <w:hideMark/>
          </w:tcPr>
          <w:p w14:paraId="0CB4DB72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−0.97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1536B99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−2.24 to 0.29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14:paraId="4853957D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0.13</w:t>
            </w:r>
          </w:p>
        </w:tc>
        <w:tc>
          <w:tcPr>
            <w:tcW w:w="2866" w:type="dxa"/>
            <w:shd w:val="clear" w:color="auto" w:fill="auto"/>
            <w:vAlign w:val="center"/>
            <w:hideMark/>
          </w:tcPr>
          <w:p w14:paraId="499AAC22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Karst 2001</w:t>
            </w:r>
          </w:p>
        </w:tc>
      </w:tr>
      <w:tr w:rsidR="00F43E6C" w:rsidRPr="00161607" w14:paraId="0C010B57" w14:textId="77777777" w:rsidTr="00ED4154">
        <w:trPr>
          <w:trHeight w:val="283"/>
          <w:jc w:val="center"/>
        </w:trPr>
        <w:tc>
          <w:tcPr>
            <w:tcW w:w="1330" w:type="dxa"/>
            <w:vMerge/>
            <w:vAlign w:val="center"/>
            <w:hideMark/>
          </w:tcPr>
          <w:p w14:paraId="6B790DE2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</w:p>
        </w:tc>
        <w:tc>
          <w:tcPr>
            <w:tcW w:w="1371" w:type="dxa"/>
            <w:shd w:val="clear" w:color="auto" w:fill="auto"/>
            <w:vAlign w:val="center"/>
            <w:hideMark/>
          </w:tcPr>
          <w:p w14:paraId="1E167F7B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3</w:t>
            </w:r>
          </w:p>
        </w:tc>
        <w:tc>
          <w:tcPr>
            <w:tcW w:w="1229" w:type="dxa"/>
            <w:shd w:val="clear" w:color="auto" w:fill="auto"/>
            <w:vAlign w:val="center"/>
            <w:hideMark/>
          </w:tcPr>
          <w:p w14:paraId="60254635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−0.92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10345C2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−2.09 to 0.25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14:paraId="4597E989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0.12</w:t>
            </w:r>
          </w:p>
        </w:tc>
        <w:tc>
          <w:tcPr>
            <w:tcW w:w="2866" w:type="dxa"/>
            <w:shd w:val="clear" w:color="auto" w:fill="auto"/>
            <w:vAlign w:val="center"/>
            <w:hideMark/>
          </w:tcPr>
          <w:p w14:paraId="6FE7003D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Karst 2000</w:t>
            </w:r>
          </w:p>
        </w:tc>
      </w:tr>
      <w:tr w:rsidR="00F43E6C" w:rsidRPr="00161607" w14:paraId="2CEED3A8" w14:textId="77777777" w:rsidTr="00ED4154">
        <w:trPr>
          <w:trHeight w:val="283"/>
          <w:jc w:val="center"/>
        </w:trPr>
        <w:tc>
          <w:tcPr>
            <w:tcW w:w="1330" w:type="dxa"/>
            <w:vMerge/>
            <w:vAlign w:val="center"/>
            <w:hideMark/>
          </w:tcPr>
          <w:p w14:paraId="1F1CC0BB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</w:p>
        </w:tc>
        <w:tc>
          <w:tcPr>
            <w:tcW w:w="1371" w:type="dxa"/>
            <w:shd w:val="clear" w:color="auto" w:fill="auto"/>
            <w:vAlign w:val="center"/>
            <w:hideMark/>
          </w:tcPr>
          <w:p w14:paraId="2D1A7B49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3</w:t>
            </w:r>
          </w:p>
        </w:tc>
        <w:tc>
          <w:tcPr>
            <w:tcW w:w="1229" w:type="dxa"/>
            <w:shd w:val="clear" w:color="auto" w:fill="auto"/>
            <w:vAlign w:val="center"/>
            <w:hideMark/>
          </w:tcPr>
          <w:p w14:paraId="6BF85F95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−0.32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277BC95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−0.50 to −0.15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14:paraId="368A77DF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b/>
                <w:bCs/>
                <w:color w:val="000000"/>
              </w:rPr>
            </w:pPr>
            <w:r w:rsidRPr="00161607">
              <w:rPr>
                <w:rFonts w:eastAsia="PMingLiU"/>
                <w:b/>
                <w:bCs/>
                <w:color w:val="000000"/>
              </w:rPr>
              <w:t>0.0003</w:t>
            </w:r>
          </w:p>
        </w:tc>
        <w:tc>
          <w:tcPr>
            <w:tcW w:w="2866" w:type="dxa"/>
            <w:shd w:val="clear" w:color="auto" w:fill="auto"/>
            <w:vAlign w:val="center"/>
            <w:hideMark/>
          </w:tcPr>
          <w:p w14:paraId="79257462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proofErr w:type="spellStart"/>
            <w:r w:rsidRPr="00161607">
              <w:rPr>
                <w:rFonts w:eastAsia="PMingLiU"/>
                <w:color w:val="000000"/>
              </w:rPr>
              <w:t>Gildir</w:t>
            </w:r>
            <w:proofErr w:type="spellEnd"/>
            <w:r w:rsidRPr="00161607">
              <w:rPr>
                <w:rFonts w:eastAsia="PMingLiU"/>
                <w:color w:val="000000"/>
              </w:rPr>
              <w:t xml:space="preserve"> 2019</w:t>
            </w:r>
          </w:p>
        </w:tc>
      </w:tr>
      <w:tr w:rsidR="00F43E6C" w:rsidRPr="00161607" w14:paraId="63665964" w14:textId="77777777" w:rsidTr="00ED4154">
        <w:trPr>
          <w:trHeight w:val="283"/>
          <w:jc w:val="center"/>
        </w:trPr>
        <w:tc>
          <w:tcPr>
            <w:tcW w:w="1330" w:type="dxa"/>
            <w:vMerge/>
            <w:vAlign w:val="center"/>
            <w:hideMark/>
          </w:tcPr>
          <w:p w14:paraId="613A97D7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</w:p>
        </w:tc>
        <w:tc>
          <w:tcPr>
            <w:tcW w:w="1371" w:type="dxa"/>
            <w:shd w:val="clear" w:color="auto" w:fill="auto"/>
            <w:vAlign w:val="center"/>
            <w:hideMark/>
          </w:tcPr>
          <w:p w14:paraId="1FDFFBB5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3</w:t>
            </w:r>
          </w:p>
        </w:tc>
        <w:tc>
          <w:tcPr>
            <w:tcW w:w="1229" w:type="dxa"/>
            <w:shd w:val="clear" w:color="auto" w:fill="auto"/>
            <w:vAlign w:val="center"/>
            <w:hideMark/>
          </w:tcPr>
          <w:p w14:paraId="6EC8181B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−0.98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D51BD59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−2.27 to 0.31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14:paraId="13D9A46D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0.14</w:t>
            </w:r>
          </w:p>
        </w:tc>
        <w:tc>
          <w:tcPr>
            <w:tcW w:w="2866" w:type="dxa"/>
            <w:shd w:val="clear" w:color="auto" w:fill="auto"/>
            <w:vAlign w:val="center"/>
            <w:hideMark/>
          </w:tcPr>
          <w:p w14:paraId="1F8599B4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Endres 2007</w:t>
            </w:r>
          </w:p>
        </w:tc>
      </w:tr>
      <w:tr w:rsidR="00F43E6C" w:rsidRPr="00161607" w14:paraId="1DE1308C" w14:textId="77777777" w:rsidTr="00ED4154">
        <w:trPr>
          <w:trHeight w:val="283"/>
          <w:jc w:val="center"/>
        </w:trPr>
        <w:tc>
          <w:tcPr>
            <w:tcW w:w="1330" w:type="dxa"/>
            <w:vMerge/>
            <w:vAlign w:val="center"/>
            <w:hideMark/>
          </w:tcPr>
          <w:p w14:paraId="68804AB6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</w:p>
        </w:tc>
        <w:tc>
          <w:tcPr>
            <w:tcW w:w="1371" w:type="dxa"/>
            <w:shd w:val="clear" w:color="auto" w:fill="auto"/>
            <w:noWrap/>
            <w:vAlign w:val="center"/>
            <w:hideMark/>
          </w:tcPr>
          <w:p w14:paraId="1CBF0BD9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2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14:paraId="6836549A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−1.22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75890CF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−3.02 to 0.57</w:t>
            </w:r>
          </w:p>
        </w:tc>
        <w:tc>
          <w:tcPr>
            <w:tcW w:w="1182" w:type="dxa"/>
            <w:shd w:val="clear" w:color="auto" w:fill="auto"/>
            <w:noWrap/>
            <w:vAlign w:val="center"/>
            <w:hideMark/>
          </w:tcPr>
          <w:p w14:paraId="6BB80826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0.18</w:t>
            </w:r>
          </w:p>
        </w:tc>
        <w:tc>
          <w:tcPr>
            <w:tcW w:w="2866" w:type="dxa"/>
            <w:shd w:val="clear" w:color="auto" w:fill="auto"/>
            <w:vAlign w:val="center"/>
            <w:hideMark/>
          </w:tcPr>
          <w:p w14:paraId="0E1D876E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Articles with high risk of</w:t>
            </w:r>
            <w:r w:rsidRPr="00161607">
              <w:rPr>
                <w:rFonts w:eastAsia="宋体"/>
                <w:color w:val="000000"/>
              </w:rPr>
              <w:t xml:space="preserve"> </w:t>
            </w:r>
            <w:r w:rsidRPr="00161607">
              <w:rPr>
                <w:rFonts w:eastAsia="PMingLiU"/>
                <w:color w:val="000000"/>
              </w:rPr>
              <w:t>bias</w:t>
            </w:r>
          </w:p>
        </w:tc>
      </w:tr>
      <w:tr w:rsidR="00F43E6C" w:rsidRPr="00161607" w14:paraId="0111853F" w14:textId="77777777" w:rsidTr="00ED4154">
        <w:trPr>
          <w:trHeight w:val="283"/>
          <w:jc w:val="center"/>
        </w:trPr>
        <w:tc>
          <w:tcPr>
            <w:tcW w:w="9425" w:type="dxa"/>
            <w:gridSpan w:val="6"/>
            <w:shd w:val="clear" w:color="auto" w:fill="auto"/>
            <w:vAlign w:val="center"/>
          </w:tcPr>
          <w:p w14:paraId="63103D6E" w14:textId="40390ECB" w:rsidR="00F43E6C" w:rsidRPr="00161607" w:rsidRDefault="00F43E6C" w:rsidP="009A4613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6 weeks post</w:t>
            </w:r>
            <w:r w:rsidR="009A4613" w:rsidRPr="00161607">
              <w:rPr>
                <w:rFonts w:eastAsia="PMingLiU"/>
                <w:color w:val="000000"/>
              </w:rPr>
              <w:t>-</w:t>
            </w:r>
            <w:r w:rsidRPr="00161607">
              <w:rPr>
                <w:rFonts w:eastAsia="PMingLiU"/>
                <w:color w:val="000000"/>
              </w:rPr>
              <w:t>treatment</w:t>
            </w:r>
          </w:p>
        </w:tc>
      </w:tr>
      <w:tr w:rsidR="00F43E6C" w:rsidRPr="00161607" w14:paraId="010FE9A7" w14:textId="77777777" w:rsidTr="00ED4154">
        <w:trPr>
          <w:trHeight w:val="283"/>
          <w:jc w:val="center"/>
        </w:trPr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14:paraId="18318506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</w:p>
        </w:tc>
        <w:tc>
          <w:tcPr>
            <w:tcW w:w="1371" w:type="dxa"/>
            <w:shd w:val="clear" w:color="auto" w:fill="auto"/>
            <w:vAlign w:val="center"/>
            <w:hideMark/>
          </w:tcPr>
          <w:p w14:paraId="3EC9076E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2</w:t>
            </w:r>
          </w:p>
        </w:tc>
        <w:tc>
          <w:tcPr>
            <w:tcW w:w="1229" w:type="dxa"/>
            <w:shd w:val="clear" w:color="auto" w:fill="auto"/>
            <w:vAlign w:val="center"/>
            <w:hideMark/>
          </w:tcPr>
          <w:p w14:paraId="412EDA8B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−0.29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D82E4E8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−0.48 to −0.10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14:paraId="61946D06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b/>
                <w:bCs/>
                <w:color w:val="000000"/>
              </w:rPr>
            </w:pPr>
            <w:r w:rsidRPr="00161607">
              <w:rPr>
                <w:rFonts w:eastAsia="PMingLiU"/>
                <w:b/>
                <w:bCs/>
                <w:color w:val="000000"/>
              </w:rPr>
              <w:t>0.003</w:t>
            </w:r>
          </w:p>
        </w:tc>
        <w:tc>
          <w:tcPr>
            <w:tcW w:w="2866" w:type="dxa"/>
            <w:shd w:val="clear" w:color="auto" w:fill="auto"/>
            <w:vAlign w:val="center"/>
            <w:hideMark/>
          </w:tcPr>
          <w:p w14:paraId="162769BB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Karst 2001</w:t>
            </w:r>
          </w:p>
        </w:tc>
      </w:tr>
      <w:tr w:rsidR="00F43E6C" w:rsidRPr="00161607" w14:paraId="3E429709" w14:textId="77777777" w:rsidTr="00ED4154">
        <w:trPr>
          <w:trHeight w:val="283"/>
          <w:jc w:val="center"/>
        </w:trPr>
        <w:tc>
          <w:tcPr>
            <w:tcW w:w="1330" w:type="dxa"/>
            <w:vMerge/>
            <w:vAlign w:val="center"/>
            <w:hideMark/>
          </w:tcPr>
          <w:p w14:paraId="5A83606B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</w:p>
        </w:tc>
        <w:tc>
          <w:tcPr>
            <w:tcW w:w="1371" w:type="dxa"/>
            <w:shd w:val="clear" w:color="auto" w:fill="auto"/>
            <w:vAlign w:val="center"/>
            <w:hideMark/>
          </w:tcPr>
          <w:p w14:paraId="7D16BDEA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2</w:t>
            </w:r>
          </w:p>
        </w:tc>
        <w:tc>
          <w:tcPr>
            <w:tcW w:w="1229" w:type="dxa"/>
            <w:shd w:val="clear" w:color="auto" w:fill="auto"/>
            <w:vAlign w:val="center"/>
            <w:hideMark/>
          </w:tcPr>
          <w:p w14:paraId="6C80A587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−0.23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E5B1F0F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−0.51 to 0.04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14:paraId="28C35566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0.10</w:t>
            </w:r>
          </w:p>
        </w:tc>
        <w:tc>
          <w:tcPr>
            <w:tcW w:w="2866" w:type="dxa"/>
            <w:shd w:val="clear" w:color="auto" w:fill="auto"/>
            <w:vAlign w:val="center"/>
            <w:hideMark/>
          </w:tcPr>
          <w:p w14:paraId="68AFE073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Karst 2000</w:t>
            </w:r>
          </w:p>
        </w:tc>
      </w:tr>
      <w:tr w:rsidR="00F43E6C" w:rsidRPr="00161607" w14:paraId="59FED912" w14:textId="77777777" w:rsidTr="00ED4154">
        <w:trPr>
          <w:trHeight w:val="283"/>
          <w:jc w:val="center"/>
        </w:trPr>
        <w:tc>
          <w:tcPr>
            <w:tcW w:w="1330" w:type="dxa"/>
            <w:vMerge/>
            <w:vAlign w:val="center"/>
            <w:hideMark/>
          </w:tcPr>
          <w:p w14:paraId="1BA90665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</w:p>
        </w:tc>
        <w:tc>
          <w:tcPr>
            <w:tcW w:w="1371" w:type="dxa"/>
            <w:shd w:val="clear" w:color="auto" w:fill="auto"/>
            <w:vAlign w:val="center"/>
            <w:hideMark/>
          </w:tcPr>
          <w:p w14:paraId="3E67072A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2</w:t>
            </w:r>
          </w:p>
        </w:tc>
        <w:tc>
          <w:tcPr>
            <w:tcW w:w="1229" w:type="dxa"/>
            <w:shd w:val="clear" w:color="auto" w:fill="auto"/>
            <w:vAlign w:val="center"/>
            <w:hideMark/>
          </w:tcPr>
          <w:p w14:paraId="118AB220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0.00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0E01D44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−0.37 to 0.38</w:t>
            </w:r>
          </w:p>
        </w:tc>
        <w:tc>
          <w:tcPr>
            <w:tcW w:w="1182" w:type="dxa"/>
            <w:shd w:val="clear" w:color="auto" w:fill="auto"/>
            <w:vAlign w:val="center"/>
            <w:hideMark/>
          </w:tcPr>
          <w:p w14:paraId="00CF708E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0.99</w:t>
            </w:r>
          </w:p>
        </w:tc>
        <w:tc>
          <w:tcPr>
            <w:tcW w:w="2866" w:type="dxa"/>
            <w:shd w:val="clear" w:color="auto" w:fill="auto"/>
            <w:vAlign w:val="center"/>
            <w:hideMark/>
          </w:tcPr>
          <w:p w14:paraId="311DA990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Endres 2007</w:t>
            </w:r>
          </w:p>
        </w:tc>
      </w:tr>
    </w:tbl>
    <w:p w14:paraId="20DA7220" w14:textId="76264623" w:rsidR="00F43E6C" w:rsidRPr="00161607" w:rsidRDefault="00F43E6C" w:rsidP="00ED4154">
      <w:pPr>
        <w:pStyle w:val="ac"/>
      </w:pPr>
      <w:r w:rsidRPr="00161607">
        <w:rPr>
          <w:rFonts w:eastAsia="PMingLiU"/>
        </w:rPr>
        <w:lastRenderedPageBreak/>
        <w:t>SMD: standardized mean difference; CI: confidence interval.</w:t>
      </w:r>
      <w:r w:rsidR="005C3AA3" w:rsidRPr="00161607">
        <w:rPr>
          <w:rFonts w:eastAsia="PMingLiU"/>
        </w:rPr>
        <w:t xml:space="preserve"> Bolded numbers indicate </w:t>
      </w:r>
      <w:r w:rsidR="005C3AA3" w:rsidRPr="00161607">
        <w:rPr>
          <w:rFonts w:eastAsia="PMingLiU"/>
          <w:i/>
        </w:rPr>
        <w:t>p</w:t>
      </w:r>
      <w:r w:rsidR="005C3AA3" w:rsidRPr="00161607">
        <w:rPr>
          <w:rFonts w:eastAsia="PMingLiU"/>
        </w:rPr>
        <w:t>-values &lt; 0.05.</w:t>
      </w:r>
    </w:p>
    <w:p w14:paraId="77590B0A" w14:textId="77777777" w:rsidR="00F43E6C" w:rsidRPr="00161607" w:rsidRDefault="00F43E6C" w:rsidP="00ED4154">
      <w:pPr>
        <w:pStyle w:val="ac"/>
      </w:pPr>
    </w:p>
    <w:p w14:paraId="2E098189" w14:textId="77777777" w:rsidR="00F43E6C" w:rsidRPr="00161607" w:rsidRDefault="00F43E6C" w:rsidP="00ED4154">
      <w:pPr>
        <w:pStyle w:val="ac"/>
      </w:pPr>
    </w:p>
    <w:p w14:paraId="3DBB24D5" w14:textId="5FEB412C" w:rsidR="00F43E6C" w:rsidRPr="00161607" w:rsidRDefault="00FB3A94" w:rsidP="00ED4154">
      <w:pPr>
        <w:pStyle w:val="ab"/>
      </w:pPr>
      <w:r w:rsidRPr="00161607">
        <w:t>S</w:t>
      </w:r>
      <w:r w:rsidRPr="00161607">
        <w:rPr>
          <w:bCs/>
        </w:rPr>
        <w:t>upplementary Table 4</w:t>
      </w:r>
      <w:r w:rsidR="00F43E6C" w:rsidRPr="00161607">
        <w:t>. Sensitivity analysis for headache score.</w:t>
      </w:r>
    </w:p>
    <w:tbl>
      <w:tblPr>
        <w:tblW w:w="8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1"/>
        <w:gridCol w:w="1389"/>
        <w:gridCol w:w="891"/>
        <w:gridCol w:w="1540"/>
        <w:gridCol w:w="1380"/>
        <w:gridCol w:w="2742"/>
      </w:tblGrid>
      <w:tr w:rsidR="00F43E6C" w:rsidRPr="00161607" w14:paraId="35C1C920" w14:textId="77777777" w:rsidTr="00ED4154">
        <w:trPr>
          <w:trHeight w:val="283"/>
          <w:jc w:val="center"/>
        </w:trPr>
        <w:tc>
          <w:tcPr>
            <w:tcW w:w="1021" w:type="dxa"/>
            <w:vMerge w:val="restart"/>
            <w:shd w:val="clear" w:color="auto" w:fill="auto"/>
            <w:vAlign w:val="center"/>
            <w:hideMark/>
          </w:tcPr>
          <w:p w14:paraId="4F80E4D5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Subgroup</w:t>
            </w:r>
          </w:p>
        </w:tc>
        <w:tc>
          <w:tcPr>
            <w:tcW w:w="5200" w:type="dxa"/>
            <w:gridSpan w:val="4"/>
            <w:shd w:val="clear" w:color="auto" w:fill="auto"/>
            <w:vAlign w:val="center"/>
            <w:hideMark/>
          </w:tcPr>
          <w:p w14:paraId="1ED796F9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Effect size</w:t>
            </w:r>
          </w:p>
        </w:tc>
        <w:tc>
          <w:tcPr>
            <w:tcW w:w="2742" w:type="dxa"/>
            <w:vMerge w:val="restart"/>
            <w:shd w:val="clear" w:color="auto" w:fill="auto"/>
            <w:vAlign w:val="center"/>
            <w:hideMark/>
          </w:tcPr>
          <w:p w14:paraId="4FC78EE5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Study removed</w:t>
            </w:r>
          </w:p>
        </w:tc>
      </w:tr>
      <w:tr w:rsidR="00F43E6C" w:rsidRPr="00161607" w14:paraId="04036EC3" w14:textId="77777777" w:rsidTr="00ED4154">
        <w:trPr>
          <w:trHeight w:val="283"/>
          <w:jc w:val="center"/>
        </w:trPr>
        <w:tc>
          <w:tcPr>
            <w:tcW w:w="1021" w:type="dxa"/>
            <w:vMerge/>
            <w:vAlign w:val="center"/>
            <w:hideMark/>
          </w:tcPr>
          <w:p w14:paraId="664D939C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14:paraId="4924B059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No. of articles</w:t>
            </w:r>
          </w:p>
        </w:tc>
        <w:tc>
          <w:tcPr>
            <w:tcW w:w="891" w:type="dxa"/>
            <w:shd w:val="clear" w:color="auto" w:fill="auto"/>
            <w:vAlign w:val="center"/>
            <w:hideMark/>
          </w:tcPr>
          <w:p w14:paraId="1F8E16A8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SMD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2907FA15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95% CI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3211C34F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i/>
                <w:iCs/>
                <w:color w:val="000000"/>
              </w:rPr>
              <w:t>p</w:t>
            </w:r>
            <w:r w:rsidRPr="00161607">
              <w:rPr>
                <w:rFonts w:eastAsia="PMingLiU"/>
                <w:color w:val="000000"/>
              </w:rPr>
              <w:t>-value</w:t>
            </w:r>
          </w:p>
        </w:tc>
        <w:tc>
          <w:tcPr>
            <w:tcW w:w="2742" w:type="dxa"/>
            <w:vMerge/>
            <w:vAlign w:val="center"/>
            <w:hideMark/>
          </w:tcPr>
          <w:p w14:paraId="6E7E72B5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</w:p>
        </w:tc>
      </w:tr>
      <w:tr w:rsidR="00F43E6C" w:rsidRPr="00161607" w14:paraId="726898EC" w14:textId="77777777" w:rsidTr="00ED4154">
        <w:trPr>
          <w:trHeight w:val="283"/>
          <w:jc w:val="center"/>
        </w:trPr>
        <w:tc>
          <w:tcPr>
            <w:tcW w:w="8963" w:type="dxa"/>
            <w:gridSpan w:val="6"/>
            <w:shd w:val="clear" w:color="auto" w:fill="auto"/>
            <w:vAlign w:val="center"/>
          </w:tcPr>
          <w:p w14:paraId="12BCDCA0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The end of treatment</w:t>
            </w:r>
          </w:p>
        </w:tc>
      </w:tr>
      <w:tr w:rsidR="00F43E6C" w:rsidRPr="00161607" w14:paraId="0E0AE588" w14:textId="77777777" w:rsidTr="00ED4154">
        <w:trPr>
          <w:trHeight w:val="283"/>
          <w:jc w:val="center"/>
        </w:trPr>
        <w:tc>
          <w:tcPr>
            <w:tcW w:w="1021" w:type="dxa"/>
            <w:vMerge w:val="restart"/>
            <w:shd w:val="clear" w:color="auto" w:fill="auto"/>
            <w:vAlign w:val="center"/>
            <w:hideMark/>
          </w:tcPr>
          <w:p w14:paraId="31BF9BC8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14:paraId="1EC81FD9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3</w:t>
            </w:r>
          </w:p>
        </w:tc>
        <w:tc>
          <w:tcPr>
            <w:tcW w:w="891" w:type="dxa"/>
            <w:shd w:val="clear" w:color="auto" w:fill="auto"/>
            <w:vAlign w:val="center"/>
            <w:hideMark/>
          </w:tcPr>
          <w:p w14:paraId="7E7A99A6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−1.71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406582FF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−5.04 to 1.62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115F36B3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0.32</w:t>
            </w:r>
          </w:p>
        </w:tc>
        <w:tc>
          <w:tcPr>
            <w:tcW w:w="2742" w:type="dxa"/>
            <w:shd w:val="clear" w:color="auto" w:fill="auto"/>
            <w:vAlign w:val="center"/>
            <w:hideMark/>
          </w:tcPr>
          <w:p w14:paraId="0CC21E23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Zheng 2022</w:t>
            </w:r>
          </w:p>
        </w:tc>
      </w:tr>
      <w:tr w:rsidR="00F43E6C" w:rsidRPr="00161607" w14:paraId="7BF144BC" w14:textId="77777777" w:rsidTr="00ED4154">
        <w:trPr>
          <w:trHeight w:val="283"/>
          <w:jc w:val="center"/>
        </w:trPr>
        <w:tc>
          <w:tcPr>
            <w:tcW w:w="1021" w:type="dxa"/>
            <w:vMerge/>
            <w:vAlign w:val="center"/>
            <w:hideMark/>
          </w:tcPr>
          <w:p w14:paraId="53144A74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14:paraId="4C7918E2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3</w:t>
            </w:r>
          </w:p>
        </w:tc>
        <w:tc>
          <w:tcPr>
            <w:tcW w:w="891" w:type="dxa"/>
            <w:shd w:val="clear" w:color="auto" w:fill="auto"/>
            <w:vAlign w:val="center"/>
            <w:hideMark/>
          </w:tcPr>
          <w:p w14:paraId="5CBC80A6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−1.56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46A04562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−4.32 to 1.20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0D929BB8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0.27</w:t>
            </w:r>
          </w:p>
        </w:tc>
        <w:tc>
          <w:tcPr>
            <w:tcW w:w="2742" w:type="dxa"/>
            <w:shd w:val="clear" w:color="auto" w:fill="auto"/>
            <w:vAlign w:val="center"/>
            <w:hideMark/>
          </w:tcPr>
          <w:p w14:paraId="4C6C9086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Kwak 2008</w:t>
            </w:r>
          </w:p>
        </w:tc>
      </w:tr>
      <w:tr w:rsidR="00F43E6C" w:rsidRPr="00161607" w14:paraId="2BA46428" w14:textId="77777777" w:rsidTr="00ED4154">
        <w:trPr>
          <w:trHeight w:val="283"/>
          <w:jc w:val="center"/>
        </w:trPr>
        <w:tc>
          <w:tcPr>
            <w:tcW w:w="1021" w:type="dxa"/>
            <w:vMerge/>
            <w:vAlign w:val="center"/>
            <w:hideMark/>
          </w:tcPr>
          <w:p w14:paraId="71E6DB40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14:paraId="4076294D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3</w:t>
            </w:r>
          </w:p>
        </w:tc>
        <w:tc>
          <w:tcPr>
            <w:tcW w:w="891" w:type="dxa"/>
            <w:shd w:val="clear" w:color="auto" w:fill="auto"/>
            <w:vAlign w:val="center"/>
            <w:hideMark/>
          </w:tcPr>
          <w:p w14:paraId="101B3CFA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−1.7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7FFEF9AA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−4.93 to 1.52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73BCED75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0.30</w:t>
            </w:r>
          </w:p>
        </w:tc>
        <w:tc>
          <w:tcPr>
            <w:tcW w:w="2742" w:type="dxa"/>
            <w:shd w:val="clear" w:color="auto" w:fill="auto"/>
            <w:vAlign w:val="center"/>
            <w:hideMark/>
          </w:tcPr>
          <w:p w14:paraId="31EEA7B4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Karst 2001</w:t>
            </w:r>
          </w:p>
        </w:tc>
      </w:tr>
      <w:tr w:rsidR="00F43E6C" w:rsidRPr="00161607" w14:paraId="3893AC15" w14:textId="77777777" w:rsidTr="00ED4154">
        <w:trPr>
          <w:trHeight w:val="283"/>
          <w:jc w:val="center"/>
        </w:trPr>
        <w:tc>
          <w:tcPr>
            <w:tcW w:w="1021" w:type="dxa"/>
            <w:vMerge/>
            <w:vAlign w:val="center"/>
            <w:hideMark/>
          </w:tcPr>
          <w:p w14:paraId="5CA31C1C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14:paraId="787A463F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3</w:t>
            </w:r>
          </w:p>
        </w:tc>
        <w:tc>
          <w:tcPr>
            <w:tcW w:w="891" w:type="dxa"/>
            <w:shd w:val="clear" w:color="auto" w:fill="auto"/>
            <w:vAlign w:val="center"/>
            <w:hideMark/>
          </w:tcPr>
          <w:p w14:paraId="05E5C432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0.18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5AA45574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−0.04 to 0.40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6D6F322F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0.11</w:t>
            </w:r>
          </w:p>
        </w:tc>
        <w:tc>
          <w:tcPr>
            <w:tcW w:w="2742" w:type="dxa"/>
            <w:shd w:val="clear" w:color="auto" w:fill="auto"/>
            <w:vAlign w:val="center"/>
            <w:hideMark/>
          </w:tcPr>
          <w:p w14:paraId="5DE51641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proofErr w:type="spellStart"/>
            <w:r w:rsidRPr="00161607">
              <w:rPr>
                <w:rFonts w:eastAsia="PMingLiU"/>
                <w:color w:val="000000"/>
              </w:rPr>
              <w:t>Gildir</w:t>
            </w:r>
            <w:proofErr w:type="spellEnd"/>
            <w:r w:rsidRPr="00161607">
              <w:rPr>
                <w:rFonts w:eastAsia="PMingLiU"/>
                <w:color w:val="000000"/>
              </w:rPr>
              <w:t xml:space="preserve"> 2019</w:t>
            </w:r>
          </w:p>
        </w:tc>
      </w:tr>
      <w:tr w:rsidR="00F43E6C" w:rsidRPr="00161607" w14:paraId="63A83AB2" w14:textId="77777777" w:rsidTr="00ED4154">
        <w:trPr>
          <w:trHeight w:val="283"/>
          <w:jc w:val="center"/>
        </w:trPr>
        <w:tc>
          <w:tcPr>
            <w:tcW w:w="1021" w:type="dxa"/>
            <w:vMerge/>
            <w:vAlign w:val="center"/>
            <w:hideMark/>
          </w:tcPr>
          <w:p w14:paraId="143D6DC2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13A873EF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2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14:paraId="4074641A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−2.46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4C310FD6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−7.74 to 2.81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14:paraId="11396F25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0.36</w:t>
            </w:r>
          </w:p>
        </w:tc>
        <w:tc>
          <w:tcPr>
            <w:tcW w:w="2742" w:type="dxa"/>
            <w:shd w:val="clear" w:color="auto" w:fill="auto"/>
            <w:vAlign w:val="center"/>
            <w:hideMark/>
          </w:tcPr>
          <w:p w14:paraId="63698F38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Articles with high risk of bias</w:t>
            </w:r>
          </w:p>
        </w:tc>
      </w:tr>
      <w:tr w:rsidR="00F43E6C" w:rsidRPr="00161607" w14:paraId="133265E5" w14:textId="77777777" w:rsidTr="00ED4154">
        <w:trPr>
          <w:trHeight w:val="283"/>
          <w:jc w:val="center"/>
        </w:trPr>
        <w:tc>
          <w:tcPr>
            <w:tcW w:w="8963" w:type="dxa"/>
            <w:gridSpan w:val="6"/>
            <w:shd w:val="clear" w:color="auto" w:fill="auto"/>
            <w:vAlign w:val="center"/>
          </w:tcPr>
          <w:p w14:paraId="47E0B952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4 weeks after treatment</w:t>
            </w:r>
          </w:p>
        </w:tc>
      </w:tr>
      <w:tr w:rsidR="00F43E6C" w:rsidRPr="00161607" w14:paraId="75C1B100" w14:textId="77777777" w:rsidTr="00ED4154">
        <w:trPr>
          <w:trHeight w:val="283"/>
          <w:jc w:val="center"/>
        </w:trPr>
        <w:tc>
          <w:tcPr>
            <w:tcW w:w="1021" w:type="dxa"/>
            <w:vMerge w:val="restart"/>
            <w:shd w:val="clear" w:color="auto" w:fill="auto"/>
            <w:vAlign w:val="center"/>
            <w:hideMark/>
          </w:tcPr>
          <w:p w14:paraId="0F7BB346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14:paraId="179936EF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2</w:t>
            </w:r>
          </w:p>
        </w:tc>
        <w:tc>
          <w:tcPr>
            <w:tcW w:w="891" w:type="dxa"/>
            <w:shd w:val="clear" w:color="auto" w:fill="auto"/>
            <w:vAlign w:val="center"/>
            <w:hideMark/>
          </w:tcPr>
          <w:p w14:paraId="6BDD32A2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−2.46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1FEC5974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−7.33 to 2.41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4930807F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0.32</w:t>
            </w:r>
          </w:p>
        </w:tc>
        <w:tc>
          <w:tcPr>
            <w:tcW w:w="2742" w:type="dxa"/>
            <w:shd w:val="clear" w:color="auto" w:fill="auto"/>
            <w:vAlign w:val="center"/>
            <w:hideMark/>
          </w:tcPr>
          <w:p w14:paraId="64BE5B4E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Zheng 2022</w:t>
            </w:r>
          </w:p>
        </w:tc>
      </w:tr>
      <w:tr w:rsidR="00F43E6C" w:rsidRPr="00161607" w14:paraId="4A0F6EA5" w14:textId="77777777" w:rsidTr="00ED4154">
        <w:trPr>
          <w:trHeight w:val="283"/>
          <w:jc w:val="center"/>
        </w:trPr>
        <w:tc>
          <w:tcPr>
            <w:tcW w:w="1021" w:type="dxa"/>
            <w:vMerge/>
            <w:vAlign w:val="center"/>
            <w:hideMark/>
          </w:tcPr>
          <w:p w14:paraId="22B03BE5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14:paraId="5DF6936F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2</w:t>
            </w:r>
          </w:p>
        </w:tc>
        <w:tc>
          <w:tcPr>
            <w:tcW w:w="891" w:type="dxa"/>
            <w:shd w:val="clear" w:color="auto" w:fill="auto"/>
            <w:vAlign w:val="center"/>
            <w:hideMark/>
          </w:tcPr>
          <w:p w14:paraId="578301F5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−2.42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57EEFEC7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−7.34 to 2.49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06B0EBEB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0.33</w:t>
            </w:r>
          </w:p>
        </w:tc>
        <w:tc>
          <w:tcPr>
            <w:tcW w:w="2742" w:type="dxa"/>
            <w:shd w:val="clear" w:color="auto" w:fill="auto"/>
            <w:vAlign w:val="center"/>
            <w:hideMark/>
          </w:tcPr>
          <w:p w14:paraId="4C573EC2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Kwak 2008</w:t>
            </w:r>
          </w:p>
        </w:tc>
      </w:tr>
      <w:tr w:rsidR="00F43E6C" w:rsidRPr="00161607" w14:paraId="74FB73D1" w14:textId="77777777" w:rsidTr="00ED4154">
        <w:trPr>
          <w:trHeight w:val="283"/>
          <w:jc w:val="center"/>
        </w:trPr>
        <w:tc>
          <w:tcPr>
            <w:tcW w:w="1021" w:type="dxa"/>
            <w:vMerge/>
            <w:vAlign w:val="center"/>
            <w:hideMark/>
          </w:tcPr>
          <w:p w14:paraId="4D14856F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14:paraId="274FD6D5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2</w:t>
            </w:r>
          </w:p>
        </w:tc>
        <w:tc>
          <w:tcPr>
            <w:tcW w:w="891" w:type="dxa"/>
            <w:shd w:val="clear" w:color="auto" w:fill="auto"/>
            <w:vAlign w:val="center"/>
            <w:hideMark/>
          </w:tcPr>
          <w:p w14:paraId="3CF1653F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0.07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13C600C0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−0.18 to 0.32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2E177794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0.57</w:t>
            </w:r>
          </w:p>
        </w:tc>
        <w:tc>
          <w:tcPr>
            <w:tcW w:w="2742" w:type="dxa"/>
            <w:shd w:val="clear" w:color="auto" w:fill="auto"/>
            <w:vAlign w:val="center"/>
            <w:hideMark/>
          </w:tcPr>
          <w:p w14:paraId="55533A96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proofErr w:type="spellStart"/>
            <w:r w:rsidRPr="00161607">
              <w:rPr>
                <w:rFonts w:eastAsia="PMingLiU"/>
                <w:color w:val="000000"/>
              </w:rPr>
              <w:t>Gildir</w:t>
            </w:r>
            <w:proofErr w:type="spellEnd"/>
            <w:r w:rsidRPr="00161607">
              <w:rPr>
                <w:rFonts w:eastAsia="PMingLiU"/>
                <w:color w:val="000000"/>
              </w:rPr>
              <w:t xml:space="preserve"> 2019</w:t>
            </w:r>
          </w:p>
        </w:tc>
      </w:tr>
      <w:tr w:rsidR="00F43E6C" w:rsidRPr="00161607" w14:paraId="2D16C0B8" w14:textId="77777777" w:rsidTr="00ED4154">
        <w:trPr>
          <w:trHeight w:val="283"/>
          <w:jc w:val="center"/>
        </w:trPr>
        <w:tc>
          <w:tcPr>
            <w:tcW w:w="1021" w:type="dxa"/>
            <w:vMerge/>
            <w:vAlign w:val="center"/>
            <w:hideMark/>
          </w:tcPr>
          <w:p w14:paraId="6D970545" w14:textId="77777777" w:rsidR="00F43E6C" w:rsidRPr="00161607" w:rsidRDefault="00F43E6C" w:rsidP="00A162D5">
            <w:pPr>
              <w:ind w:firstLineChars="0" w:firstLine="0"/>
              <w:jc w:val="left"/>
              <w:rPr>
                <w:rFonts w:eastAsia="PMingLiU"/>
                <w:color w:val="000000"/>
              </w:rPr>
            </w:pP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14:paraId="55B21B15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2</w:t>
            </w:r>
          </w:p>
        </w:tc>
        <w:tc>
          <w:tcPr>
            <w:tcW w:w="891" w:type="dxa"/>
            <w:shd w:val="clear" w:color="auto" w:fill="auto"/>
            <w:vAlign w:val="center"/>
            <w:hideMark/>
          </w:tcPr>
          <w:p w14:paraId="2CC5C793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−2.42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14:paraId="3A862F2A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−7.34 to 2.49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14:paraId="48CC3327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0.33</w:t>
            </w:r>
          </w:p>
        </w:tc>
        <w:tc>
          <w:tcPr>
            <w:tcW w:w="2742" w:type="dxa"/>
            <w:shd w:val="clear" w:color="auto" w:fill="auto"/>
            <w:vAlign w:val="center"/>
            <w:hideMark/>
          </w:tcPr>
          <w:p w14:paraId="5CD3314A" w14:textId="77777777" w:rsidR="00F43E6C" w:rsidRPr="00161607" w:rsidRDefault="00F43E6C" w:rsidP="00A162D5">
            <w:pPr>
              <w:ind w:firstLineChars="0" w:firstLine="0"/>
              <w:jc w:val="center"/>
              <w:rPr>
                <w:rFonts w:eastAsia="PMingLiU"/>
                <w:color w:val="000000"/>
              </w:rPr>
            </w:pPr>
            <w:r w:rsidRPr="00161607">
              <w:rPr>
                <w:rFonts w:eastAsia="PMingLiU"/>
                <w:color w:val="000000"/>
              </w:rPr>
              <w:t>Articles with high risk of bias</w:t>
            </w:r>
          </w:p>
        </w:tc>
      </w:tr>
    </w:tbl>
    <w:p w14:paraId="5CEC2EB4" w14:textId="77777777" w:rsidR="00F43E6C" w:rsidRPr="00110C5B" w:rsidRDefault="00F43E6C" w:rsidP="00ED4154">
      <w:pPr>
        <w:pStyle w:val="ac"/>
      </w:pPr>
      <w:r w:rsidRPr="00161607">
        <w:rPr>
          <w:rFonts w:eastAsia="PMingLiU"/>
        </w:rPr>
        <w:t>SMD: standardized mean difference; CI: confidence interval.</w:t>
      </w:r>
    </w:p>
    <w:p w14:paraId="6BC8A3C0" w14:textId="77777777" w:rsidR="00F43E6C" w:rsidRPr="00110C5B" w:rsidRDefault="00F43E6C" w:rsidP="00ED4154">
      <w:pPr>
        <w:pStyle w:val="ac"/>
      </w:pPr>
    </w:p>
    <w:p w14:paraId="7B481C6A" w14:textId="77777777" w:rsidR="00893186" w:rsidRPr="00F43E6C" w:rsidRDefault="00893186" w:rsidP="00F43E6C">
      <w:pPr>
        <w:ind w:firstLineChars="0" w:firstLine="0"/>
        <w:rPr>
          <w:rFonts w:eastAsiaTheme="minorEastAsia"/>
        </w:rPr>
      </w:pPr>
    </w:p>
    <w:sectPr w:rsidR="00893186" w:rsidRPr="00F43E6C" w:rsidSect="00F43E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992" w:right="992" w:bottom="992" w:left="992" w:header="284" w:footer="113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6E9CD" w14:textId="77777777" w:rsidR="008C6289" w:rsidRDefault="008C6289" w:rsidP="009814FD">
      <w:pPr>
        <w:ind w:firstLine="420"/>
      </w:pPr>
      <w:r>
        <w:separator/>
      </w:r>
    </w:p>
  </w:endnote>
  <w:endnote w:type="continuationSeparator" w:id="0">
    <w:p w14:paraId="4FDAC57B" w14:textId="77777777" w:rsidR="008C6289" w:rsidRDefault="008C6289" w:rsidP="009814FD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mbusRomNo9L">
    <w:panose1 w:val="01010103010101010101"/>
    <w:charset w:val="00"/>
    <w:family w:val="auto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0B782" w14:textId="77777777" w:rsidR="0059166D" w:rsidRDefault="0059166D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7510583"/>
      <w:docPartObj>
        <w:docPartGallery w:val="Page Numbers (Bottom of Page)"/>
        <w:docPartUnique/>
      </w:docPartObj>
    </w:sdtPr>
    <w:sdtEndPr/>
    <w:sdtContent>
      <w:p w14:paraId="12267C33" w14:textId="4F769939" w:rsidR="00B23B47" w:rsidRDefault="00B23B47">
        <w:pPr>
          <w:pStyle w:val="a3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613" w:rsidRPr="009A4613">
          <w:rPr>
            <w:noProof/>
            <w:lang w:val="zh-CN"/>
          </w:rPr>
          <w:t>4</w:t>
        </w:r>
        <w:r>
          <w:fldChar w:fldCharType="end"/>
        </w:r>
      </w:p>
    </w:sdtContent>
  </w:sdt>
  <w:p w14:paraId="6C7BF0E4" w14:textId="77777777" w:rsidR="0059166D" w:rsidRDefault="0059166D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3106632"/>
      <w:docPartObj>
        <w:docPartGallery w:val="Page Numbers (Bottom of Page)"/>
        <w:docPartUnique/>
      </w:docPartObj>
    </w:sdtPr>
    <w:sdtEndPr/>
    <w:sdtContent>
      <w:p w14:paraId="1850ECD7" w14:textId="356DF052" w:rsidR="00B23B47" w:rsidRDefault="00B23B47">
        <w:pPr>
          <w:pStyle w:val="a3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613" w:rsidRPr="009A4613">
          <w:rPr>
            <w:noProof/>
            <w:lang w:val="zh-CN"/>
          </w:rPr>
          <w:t>1</w:t>
        </w:r>
        <w:r>
          <w:fldChar w:fldCharType="end"/>
        </w:r>
      </w:p>
    </w:sdtContent>
  </w:sdt>
  <w:p w14:paraId="282D078E" w14:textId="77777777" w:rsidR="00F646B2" w:rsidRPr="00B23B47" w:rsidRDefault="00F646B2" w:rsidP="00B23B47">
    <w:pPr>
      <w:pStyle w:val="a3"/>
      <w:ind w:firstLineChars="0" w:firstLine="0"/>
      <w:rPr>
        <w:rFonts w:eastAsiaTheme="min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5FC01" w14:textId="77777777" w:rsidR="008C6289" w:rsidRDefault="008C6289" w:rsidP="009814FD">
      <w:pPr>
        <w:ind w:firstLine="420"/>
      </w:pPr>
      <w:r>
        <w:separator/>
      </w:r>
    </w:p>
  </w:footnote>
  <w:footnote w:type="continuationSeparator" w:id="0">
    <w:p w14:paraId="6C9A44D4" w14:textId="77777777" w:rsidR="008C6289" w:rsidRDefault="008C6289" w:rsidP="009814FD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71E1D" w14:textId="77777777" w:rsidR="0059166D" w:rsidRDefault="0059166D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564FF" w14:textId="77777777" w:rsidR="0059166D" w:rsidRPr="00C568BE" w:rsidRDefault="0059166D" w:rsidP="00F646B2">
    <w:pPr>
      <w:pStyle w:val="a5"/>
      <w:pBdr>
        <w:bottom w:val="none" w:sz="0" w:space="0" w:color="auto"/>
      </w:pBdr>
      <w:ind w:firstLine="3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4AD22" w14:textId="1AF415E8" w:rsidR="0059166D" w:rsidRDefault="0059166D" w:rsidP="00BB3B28">
    <w:pPr>
      <w:pStyle w:val="a5"/>
      <w:pBdr>
        <w:bottom w:val="none" w:sz="0" w:space="0" w:color="auto"/>
      </w:pBdr>
      <w:ind w:right="720" w:firstLineChars="0" w:firstLine="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26A12"/>
    <w:multiLevelType w:val="hybridMultilevel"/>
    <w:tmpl w:val="092E7D62"/>
    <w:lvl w:ilvl="0" w:tplc="04090001">
      <w:start w:val="1"/>
      <w:numFmt w:val="bullet"/>
      <w:lvlText w:val=""/>
      <w:lvlJc w:val="left"/>
      <w:pPr>
        <w:ind w:left="89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1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3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57" w:hanging="420"/>
      </w:pPr>
      <w:rPr>
        <w:rFonts w:ascii="Wingdings" w:hAnsi="Wingdings" w:hint="default"/>
      </w:rPr>
    </w:lvl>
  </w:abstractNum>
  <w:abstractNum w:abstractNumId="1" w15:restartNumberingAfterBreak="0">
    <w:nsid w:val="4D661A69"/>
    <w:multiLevelType w:val="multilevel"/>
    <w:tmpl w:val="A4C0DC64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3A83292"/>
    <w:multiLevelType w:val="hybridMultilevel"/>
    <w:tmpl w:val="6B5AF142"/>
    <w:lvl w:ilvl="0" w:tplc="04090001">
      <w:start w:val="1"/>
      <w:numFmt w:val="bullet"/>
      <w:lvlText w:val=""/>
      <w:lvlJc w:val="left"/>
      <w:pPr>
        <w:ind w:left="51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3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5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7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38A3"/>
    <w:rsid w:val="00090B70"/>
    <w:rsid w:val="000F152E"/>
    <w:rsid w:val="000F3BE2"/>
    <w:rsid w:val="000F6968"/>
    <w:rsid w:val="00161607"/>
    <w:rsid w:val="001C2861"/>
    <w:rsid w:val="00211613"/>
    <w:rsid w:val="002754DE"/>
    <w:rsid w:val="0029346E"/>
    <w:rsid w:val="00364888"/>
    <w:rsid w:val="004107AB"/>
    <w:rsid w:val="00414D66"/>
    <w:rsid w:val="00466B6A"/>
    <w:rsid w:val="00490722"/>
    <w:rsid w:val="004A2497"/>
    <w:rsid w:val="004D74C5"/>
    <w:rsid w:val="0052442C"/>
    <w:rsid w:val="0059166D"/>
    <w:rsid w:val="005C3AA3"/>
    <w:rsid w:val="005D4904"/>
    <w:rsid w:val="005E1C27"/>
    <w:rsid w:val="006044AA"/>
    <w:rsid w:val="00647A41"/>
    <w:rsid w:val="007900C4"/>
    <w:rsid w:val="007C726C"/>
    <w:rsid w:val="00885DDC"/>
    <w:rsid w:val="00893186"/>
    <w:rsid w:val="008C3F28"/>
    <w:rsid w:val="008C6289"/>
    <w:rsid w:val="008E7993"/>
    <w:rsid w:val="008F3335"/>
    <w:rsid w:val="008F37AF"/>
    <w:rsid w:val="008F72AF"/>
    <w:rsid w:val="009538A3"/>
    <w:rsid w:val="009814FD"/>
    <w:rsid w:val="009A4613"/>
    <w:rsid w:val="009E2221"/>
    <w:rsid w:val="00A744D2"/>
    <w:rsid w:val="00AA5282"/>
    <w:rsid w:val="00B23B47"/>
    <w:rsid w:val="00B33F94"/>
    <w:rsid w:val="00BB3B28"/>
    <w:rsid w:val="00C44D2F"/>
    <w:rsid w:val="00C64A9D"/>
    <w:rsid w:val="00D00886"/>
    <w:rsid w:val="00D27B94"/>
    <w:rsid w:val="00ED4154"/>
    <w:rsid w:val="00F237CE"/>
    <w:rsid w:val="00F43E6C"/>
    <w:rsid w:val="00F646B2"/>
    <w:rsid w:val="00F80C25"/>
    <w:rsid w:val="00FB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CEFE40"/>
  <w15:docId w15:val="{E389DB43-44FA-4FD8-8765-58BD6AE60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6B2"/>
    <w:pPr>
      <w:widowControl w:val="0"/>
      <w:ind w:firstLineChars="200" w:firstLine="200"/>
      <w:jc w:val="both"/>
    </w:pPr>
    <w:rPr>
      <w:rFonts w:ascii="Times New Roman" w:eastAsia="Times New Roman" w:hAnsi="Times New Roman" w:cs="Times New Roman"/>
      <w:szCs w:val="21"/>
    </w:rPr>
  </w:style>
  <w:style w:type="paragraph" w:styleId="1">
    <w:name w:val="heading 1"/>
    <w:aliases w:val="一级标题"/>
    <w:basedOn w:val="a"/>
    <w:next w:val="a"/>
    <w:link w:val="10"/>
    <w:autoRedefine/>
    <w:uiPriority w:val="1"/>
    <w:qFormat/>
    <w:rsid w:val="00F646B2"/>
    <w:pPr>
      <w:autoSpaceDE w:val="0"/>
      <w:autoSpaceDN w:val="0"/>
      <w:adjustRightInd w:val="0"/>
      <w:spacing w:beforeLines="100" w:before="312" w:afterLines="100" w:after="312"/>
      <w:ind w:firstLineChars="0" w:firstLine="0"/>
      <w:jc w:val="left"/>
      <w:outlineLvl w:val="0"/>
    </w:pPr>
    <w:rPr>
      <w:rFonts w:cs="Book Antiqua"/>
      <w:b/>
      <w:bCs/>
      <w:kern w:val="0"/>
      <w:sz w:val="24"/>
      <w:szCs w:val="20"/>
    </w:rPr>
  </w:style>
  <w:style w:type="paragraph" w:styleId="2">
    <w:name w:val="heading 2"/>
    <w:aliases w:val="二级标题"/>
    <w:basedOn w:val="a"/>
    <w:next w:val="a"/>
    <w:link w:val="20"/>
    <w:autoRedefine/>
    <w:uiPriority w:val="9"/>
    <w:unhideWhenUsed/>
    <w:qFormat/>
    <w:rsid w:val="00F646B2"/>
    <w:pPr>
      <w:keepNext/>
      <w:keepLines/>
      <w:spacing w:beforeLines="50" w:before="156" w:afterLines="50" w:after="156"/>
      <w:ind w:firstLineChars="0" w:firstLine="0"/>
      <w:outlineLvl w:val="1"/>
    </w:pPr>
    <w:rPr>
      <w:b/>
      <w:bCs/>
      <w:i/>
      <w:sz w:val="22"/>
    </w:rPr>
  </w:style>
  <w:style w:type="paragraph" w:styleId="3">
    <w:name w:val="heading 3"/>
    <w:aliases w:val="三级标题"/>
    <w:basedOn w:val="a"/>
    <w:next w:val="a"/>
    <w:link w:val="30"/>
    <w:autoRedefine/>
    <w:uiPriority w:val="9"/>
    <w:unhideWhenUsed/>
    <w:qFormat/>
    <w:rsid w:val="00F646B2"/>
    <w:pPr>
      <w:keepNext/>
      <w:keepLines/>
      <w:spacing w:beforeLines="50" w:before="156" w:afterLines="50" w:after="156"/>
      <w:ind w:firstLineChars="0" w:firstLine="0"/>
      <w:outlineLvl w:val="2"/>
    </w:pPr>
    <w:rPr>
      <w:bCs/>
      <w:i/>
      <w:sz w:val="22"/>
      <w:szCs w:val="32"/>
    </w:rPr>
  </w:style>
  <w:style w:type="paragraph" w:styleId="4">
    <w:name w:val="heading 4"/>
    <w:basedOn w:val="a"/>
    <w:next w:val="a"/>
    <w:link w:val="40"/>
    <w:uiPriority w:val="9"/>
    <w:qFormat/>
    <w:rsid w:val="00F646B2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F646B2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F646B2"/>
    <w:pPr>
      <w:keepNext/>
      <w:keepLines/>
      <w:numPr>
        <w:ilvl w:val="5"/>
        <w:numId w:val="6"/>
      </w:numPr>
      <w:spacing w:before="240" w:after="64" w:line="320" w:lineRule="auto"/>
      <w:ind w:firstLineChars="0" w:firstLine="0"/>
      <w:outlineLvl w:val="5"/>
    </w:pPr>
    <w:rPr>
      <w:rFonts w:ascii="等线 Light" w:eastAsia="等线 Light" w:hAnsi="等线 Light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F646B2"/>
    <w:pPr>
      <w:keepNext/>
      <w:keepLines/>
      <w:numPr>
        <w:ilvl w:val="6"/>
        <w:numId w:val="6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F646B2"/>
    <w:pPr>
      <w:keepNext/>
      <w:keepLines/>
      <w:numPr>
        <w:ilvl w:val="7"/>
        <w:numId w:val="6"/>
      </w:numPr>
      <w:spacing w:before="240" w:after="64" w:line="320" w:lineRule="auto"/>
      <w:ind w:firstLineChars="0" w:firstLine="0"/>
      <w:outlineLvl w:val="7"/>
    </w:pPr>
    <w:rPr>
      <w:rFonts w:ascii="等线 Light" w:eastAsia="等线 Light" w:hAnsi="等线 Light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46B2"/>
    <w:pPr>
      <w:keepNext/>
      <w:keepLines/>
      <w:numPr>
        <w:ilvl w:val="8"/>
        <w:numId w:val="6"/>
      </w:numPr>
      <w:spacing w:before="240" w:after="64" w:line="320" w:lineRule="auto"/>
      <w:ind w:firstLineChars="0" w:firstLine="0"/>
      <w:outlineLvl w:val="8"/>
    </w:pPr>
    <w:rPr>
      <w:rFonts w:ascii="等线 Light" w:eastAsia="等线 Light" w:hAnsi="等线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646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rsid w:val="00F646B2"/>
    <w:rPr>
      <w:rFonts w:ascii="Times New Roman" w:eastAsia="Times New Roman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646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rsid w:val="00F646B2"/>
    <w:rPr>
      <w:rFonts w:ascii="Times New Roman" w:eastAsia="Times New Roman" w:hAnsi="Times New Roman" w:cs="Times New Roman"/>
      <w:sz w:val="18"/>
      <w:szCs w:val="18"/>
    </w:rPr>
  </w:style>
  <w:style w:type="table" w:customStyle="1" w:styleId="21">
    <w:name w:val="网格型2"/>
    <w:basedOn w:val="a1"/>
    <w:next w:val="a7"/>
    <w:uiPriority w:val="59"/>
    <w:qFormat/>
    <w:rsid w:val="009814FD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qFormat/>
    <w:rsid w:val="00F646B2"/>
    <w:rPr>
      <w:rFonts w:ascii="等线" w:eastAsia="等线" w:hAnsi="等线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814FD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9814FD"/>
    <w:rPr>
      <w:sz w:val="18"/>
      <w:szCs w:val="18"/>
    </w:rPr>
  </w:style>
  <w:style w:type="character" w:styleId="aa">
    <w:name w:val="line number"/>
    <w:uiPriority w:val="99"/>
    <w:semiHidden/>
    <w:unhideWhenUsed/>
    <w:rsid w:val="00F646B2"/>
  </w:style>
  <w:style w:type="character" w:customStyle="1" w:styleId="10">
    <w:name w:val="标题 1 字符"/>
    <w:aliases w:val="一级标题 字符"/>
    <w:link w:val="1"/>
    <w:uiPriority w:val="1"/>
    <w:rsid w:val="00F646B2"/>
    <w:rPr>
      <w:rFonts w:ascii="Times New Roman" w:eastAsia="Times New Roman" w:hAnsi="Times New Roman" w:cs="Book Antiqua"/>
      <w:b/>
      <w:bCs/>
      <w:kern w:val="0"/>
      <w:sz w:val="24"/>
      <w:szCs w:val="20"/>
    </w:rPr>
  </w:style>
  <w:style w:type="character" w:customStyle="1" w:styleId="20">
    <w:name w:val="标题 2 字符"/>
    <w:aliases w:val="二级标题 字符"/>
    <w:link w:val="2"/>
    <w:uiPriority w:val="9"/>
    <w:rsid w:val="00F646B2"/>
    <w:rPr>
      <w:rFonts w:ascii="Times New Roman" w:eastAsia="Times New Roman" w:hAnsi="Times New Roman" w:cs="Times New Roman"/>
      <w:b/>
      <w:bCs/>
      <w:i/>
      <w:sz w:val="22"/>
      <w:szCs w:val="21"/>
    </w:rPr>
  </w:style>
  <w:style w:type="character" w:customStyle="1" w:styleId="30">
    <w:name w:val="标题 3 字符"/>
    <w:aliases w:val="三级标题 字符"/>
    <w:link w:val="3"/>
    <w:uiPriority w:val="9"/>
    <w:rsid w:val="00F646B2"/>
    <w:rPr>
      <w:rFonts w:ascii="Times New Roman" w:eastAsia="Times New Roman" w:hAnsi="Times New Roman" w:cs="Times New Roman"/>
      <w:bCs/>
      <w:i/>
      <w:sz w:val="22"/>
      <w:szCs w:val="32"/>
    </w:rPr>
  </w:style>
  <w:style w:type="character" w:customStyle="1" w:styleId="40">
    <w:name w:val="标题 4 字符"/>
    <w:link w:val="4"/>
    <w:uiPriority w:val="9"/>
    <w:rsid w:val="00F646B2"/>
    <w:rPr>
      <w:rFonts w:ascii="Calibri Light" w:eastAsia="NimbusRomNo9L" w:hAnsi="Calibri Light" w:cs="NimbusRomNo9L"/>
      <w:b/>
      <w:bCs/>
      <w:kern w:val="0"/>
      <w:sz w:val="28"/>
      <w:szCs w:val="28"/>
    </w:rPr>
  </w:style>
  <w:style w:type="character" w:customStyle="1" w:styleId="50">
    <w:name w:val="标题 5 字符"/>
    <w:link w:val="5"/>
    <w:uiPriority w:val="9"/>
    <w:rsid w:val="00F646B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0">
    <w:name w:val="标题 6 字符"/>
    <w:link w:val="6"/>
    <w:uiPriority w:val="9"/>
    <w:rsid w:val="00F646B2"/>
    <w:rPr>
      <w:rFonts w:ascii="等线 Light" w:eastAsia="等线 Light" w:hAnsi="等线 Light" w:cs="Times New Roman"/>
      <w:b/>
      <w:bCs/>
      <w:sz w:val="24"/>
      <w:szCs w:val="24"/>
    </w:rPr>
  </w:style>
  <w:style w:type="character" w:customStyle="1" w:styleId="70">
    <w:name w:val="标题 7 字符"/>
    <w:link w:val="7"/>
    <w:uiPriority w:val="9"/>
    <w:rsid w:val="00F646B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标题 8 字符"/>
    <w:link w:val="8"/>
    <w:uiPriority w:val="9"/>
    <w:rsid w:val="00F646B2"/>
    <w:rPr>
      <w:rFonts w:ascii="等线 Light" w:eastAsia="等线 Light" w:hAnsi="等线 Light" w:cs="Times New Roman"/>
      <w:sz w:val="24"/>
      <w:szCs w:val="24"/>
    </w:rPr>
  </w:style>
  <w:style w:type="character" w:customStyle="1" w:styleId="90">
    <w:name w:val="标题 9 字符"/>
    <w:link w:val="9"/>
    <w:uiPriority w:val="9"/>
    <w:semiHidden/>
    <w:rsid w:val="00F646B2"/>
    <w:rPr>
      <w:rFonts w:ascii="等线 Light" w:eastAsia="等线 Light" w:hAnsi="等线 Light" w:cs="Times New Roman"/>
      <w:szCs w:val="21"/>
    </w:rPr>
  </w:style>
  <w:style w:type="paragraph" w:customStyle="1" w:styleId="ab">
    <w:name w:val="表题"/>
    <w:basedOn w:val="a"/>
    <w:autoRedefine/>
    <w:qFormat/>
    <w:rsid w:val="00ED4154"/>
    <w:pPr>
      <w:spacing w:beforeLines="100" w:before="312" w:afterLines="100" w:after="312"/>
      <w:ind w:firstLineChars="0" w:firstLine="0"/>
      <w:jc w:val="center"/>
    </w:pPr>
    <w:rPr>
      <w:b/>
    </w:rPr>
  </w:style>
  <w:style w:type="paragraph" w:customStyle="1" w:styleId="ac">
    <w:name w:val="表注"/>
    <w:basedOn w:val="ab"/>
    <w:autoRedefine/>
    <w:qFormat/>
    <w:rsid w:val="005C3AA3"/>
    <w:pPr>
      <w:adjustRightInd w:val="0"/>
      <w:snapToGrid w:val="0"/>
      <w:spacing w:beforeLines="0" w:before="0" w:afterLines="0" w:after="0"/>
      <w:jc w:val="both"/>
    </w:pPr>
    <w:rPr>
      <w:b w:val="0"/>
    </w:rPr>
  </w:style>
  <w:style w:type="paragraph" w:customStyle="1" w:styleId="ad">
    <w:name w:val="参考文献"/>
    <w:basedOn w:val="a"/>
    <w:autoRedefine/>
    <w:qFormat/>
    <w:rsid w:val="00F646B2"/>
    <w:pPr>
      <w:ind w:left="360" w:hangingChars="200" w:hanging="360"/>
    </w:pPr>
    <w:rPr>
      <w:rFonts w:eastAsia="等线"/>
      <w:sz w:val="18"/>
      <w:szCs w:val="24"/>
    </w:rPr>
  </w:style>
  <w:style w:type="paragraph" w:customStyle="1" w:styleId="ae">
    <w:name w:val="稿件类型"/>
    <w:basedOn w:val="a"/>
    <w:autoRedefine/>
    <w:qFormat/>
    <w:rsid w:val="00F646B2"/>
    <w:pPr>
      <w:ind w:firstLineChars="0" w:firstLine="0"/>
      <w:jc w:val="left"/>
    </w:pPr>
    <w:rPr>
      <w:rFonts w:eastAsia="宋体"/>
      <w:i/>
      <w:sz w:val="20"/>
    </w:rPr>
  </w:style>
  <w:style w:type="paragraph" w:customStyle="1" w:styleId="af">
    <w:name w:val="关键词"/>
    <w:basedOn w:val="a"/>
    <w:autoRedefine/>
    <w:qFormat/>
    <w:rsid w:val="00F646B2"/>
    <w:pPr>
      <w:ind w:firstLineChars="0" w:firstLine="0"/>
    </w:pPr>
    <w:rPr>
      <w:noProof/>
    </w:rPr>
  </w:style>
  <w:style w:type="paragraph" w:customStyle="1" w:styleId="af0">
    <w:name w:val="机构信息"/>
    <w:basedOn w:val="a"/>
    <w:link w:val="af1"/>
    <w:autoRedefine/>
    <w:qFormat/>
    <w:rsid w:val="00F646B2"/>
    <w:pPr>
      <w:ind w:firstLineChars="0" w:firstLine="0"/>
    </w:pPr>
    <w:rPr>
      <w:i/>
    </w:rPr>
  </w:style>
  <w:style w:type="character" w:customStyle="1" w:styleId="af1">
    <w:name w:val="机构信息 字符"/>
    <w:link w:val="af0"/>
    <w:rsid w:val="00F646B2"/>
    <w:rPr>
      <w:rFonts w:ascii="Times New Roman" w:eastAsia="Times New Roman" w:hAnsi="Times New Roman" w:cs="Times New Roman"/>
      <w:i/>
      <w:szCs w:val="21"/>
    </w:rPr>
  </w:style>
  <w:style w:type="paragraph" w:customStyle="1" w:styleId="af2">
    <w:name w:val="接收日期"/>
    <w:basedOn w:val="a"/>
    <w:autoRedefine/>
    <w:qFormat/>
    <w:rsid w:val="00F646B2"/>
    <w:pPr>
      <w:ind w:firstLineChars="0" w:firstLine="0"/>
    </w:pPr>
  </w:style>
  <w:style w:type="paragraph" w:styleId="af3">
    <w:name w:val="Normal (Web)"/>
    <w:basedOn w:val="a"/>
    <w:uiPriority w:val="99"/>
    <w:unhideWhenUsed/>
    <w:rsid w:val="00F646B2"/>
    <w:pPr>
      <w:spacing w:before="100" w:beforeAutospacing="1" w:after="100" w:afterAutospacing="1"/>
    </w:pPr>
    <w:rPr>
      <w:lang w:eastAsia="en-US"/>
    </w:rPr>
  </w:style>
  <w:style w:type="paragraph" w:customStyle="1" w:styleId="af4">
    <w:name w:val="通讯作者"/>
    <w:basedOn w:val="a"/>
    <w:autoRedefine/>
    <w:qFormat/>
    <w:rsid w:val="00F646B2"/>
    <w:pPr>
      <w:ind w:firstLineChars="0" w:firstLine="0"/>
    </w:pPr>
  </w:style>
  <w:style w:type="paragraph" w:customStyle="1" w:styleId="af5">
    <w:name w:val="图注"/>
    <w:basedOn w:val="ac"/>
    <w:autoRedefine/>
    <w:qFormat/>
    <w:rsid w:val="00F43E6C"/>
  </w:style>
  <w:style w:type="paragraph" w:customStyle="1" w:styleId="af6">
    <w:name w:val="文章标题"/>
    <w:basedOn w:val="a"/>
    <w:link w:val="af7"/>
    <w:autoRedefine/>
    <w:qFormat/>
    <w:rsid w:val="00F646B2"/>
    <w:pPr>
      <w:kinsoku w:val="0"/>
      <w:overflowPunct w:val="0"/>
      <w:autoSpaceDE w:val="0"/>
      <w:autoSpaceDN w:val="0"/>
      <w:adjustRightInd w:val="0"/>
      <w:ind w:firstLineChars="0" w:firstLine="0"/>
      <w:jc w:val="center"/>
    </w:pPr>
    <w:rPr>
      <w:b/>
      <w:bCs/>
      <w:spacing w:val="-8"/>
      <w:sz w:val="36"/>
      <w:szCs w:val="36"/>
    </w:rPr>
  </w:style>
  <w:style w:type="character" w:customStyle="1" w:styleId="af7">
    <w:name w:val="文章标题 字符"/>
    <w:link w:val="af6"/>
    <w:rsid w:val="00F646B2"/>
    <w:rPr>
      <w:rFonts w:ascii="Times New Roman" w:eastAsia="Times New Roman" w:hAnsi="Times New Roman" w:cs="Times New Roman"/>
      <w:b/>
      <w:bCs/>
      <w:spacing w:val="-8"/>
      <w:sz w:val="36"/>
      <w:szCs w:val="36"/>
    </w:rPr>
  </w:style>
  <w:style w:type="paragraph" w:customStyle="1" w:styleId="af8">
    <w:name w:val="文章内容"/>
    <w:basedOn w:val="a"/>
    <w:link w:val="af9"/>
    <w:autoRedefine/>
    <w:rsid w:val="00F646B2"/>
    <w:pPr>
      <w:ind w:firstLine="420"/>
    </w:pPr>
    <w:rPr>
      <w:color w:val="000000"/>
    </w:rPr>
  </w:style>
  <w:style w:type="character" w:customStyle="1" w:styleId="af9">
    <w:name w:val="文章内容 字符"/>
    <w:link w:val="af8"/>
    <w:rsid w:val="00F646B2"/>
    <w:rPr>
      <w:rFonts w:ascii="Times New Roman" w:eastAsia="Times New Roman" w:hAnsi="Times New Roman" w:cs="Times New Roman"/>
      <w:color w:val="000000"/>
      <w:szCs w:val="21"/>
    </w:rPr>
  </w:style>
  <w:style w:type="paragraph" w:customStyle="1" w:styleId="afa">
    <w:name w:val="摘要"/>
    <w:basedOn w:val="a"/>
    <w:autoRedefine/>
    <w:qFormat/>
    <w:rsid w:val="00F646B2"/>
    <w:pPr>
      <w:ind w:firstLineChars="0" w:firstLine="0"/>
    </w:pPr>
    <w:rPr>
      <w:noProof/>
    </w:rPr>
  </w:style>
  <w:style w:type="character" w:styleId="afb">
    <w:name w:val="Placeholder Text"/>
    <w:uiPriority w:val="99"/>
    <w:semiHidden/>
    <w:rsid w:val="00F646B2"/>
    <w:rPr>
      <w:color w:val="808080"/>
    </w:rPr>
  </w:style>
  <w:style w:type="paragraph" w:styleId="afc">
    <w:name w:val="Body Text"/>
    <w:basedOn w:val="a"/>
    <w:link w:val="afd"/>
    <w:autoRedefine/>
    <w:uiPriority w:val="1"/>
    <w:qFormat/>
    <w:rsid w:val="00F646B2"/>
    <w:pPr>
      <w:autoSpaceDE w:val="0"/>
      <w:autoSpaceDN w:val="0"/>
      <w:adjustRightInd w:val="0"/>
      <w:ind w:firstLine="420"/>
    </w:pPr>
    <w:rPr>
      <w:kern w:val="0"/>
    </w:rPr>
  </w:style>
  <w:style w:type="character" w:customStyle="1" w:styleId="afd">
    <w:name w:val="正文文本 字符"/>
    <w:link w:val="afc"/>
    <w:uiPriority w:val="1"/>
    <w:rsid w:val="00F646B2"/>
    <w:rPr>
      <w:rFonts w:ascii="Times New Roman" w:eastAsia="Times New Roman" w:hAnsi="Times New Roman" w:cs="Times New Roman"/>
      <w:kern w:val="0"/>
      <w:szCs w:val="21"/>
    </w:rPr>
  </w:style>
  <w:style w:type="paragraph" w:customStyle="1" w:styleId="afe">
    <w:name w:val="致谢部分"/>
    <w:basedOn w:val="afc"/>
    <w:link w:val="aff"/>
    <w:autoRedefine/>
    <w:qFormat/>
    <w:rsid w:val="00F646B2"/>
    <w:pPr>
      <w:ind w:firstLineChars="0" w:firstLine="0"/>
    </w:pPr>
    <w:rPr>
      <w:b/>
      <w:sz w:val="24"/>
      <w:szCs w:val="24"/>
    </w:rPr>
  </w:style>
  <w:style w:type="character" w:customStyle="1" w:styleId="aff">
    <w:name w:val="致谢部分 字符"/>
    <w:link w:val="afe"/>
    <w:rsid w:val="00F646B2"/>
    <w:rPr>
      <w:rFonts w:ascii="Times New Roman" w:eastAsia="Times New Roman" w:hAnsi="Times New Roman" w:cs="Times New Roman"/>
      <w:b/>
      <w:kern w:val="0"/>
      <w:sz w:val="24"/>
      <w:szCs w:val="24"/>
    </w:rPr>
  </w:style>
  <w:style w:type="paragraph" w:customStyle="1" w:styleId="aff0">
    <w:name w:val="作者信息"/>
    <w:basedOn w:val="a"/>
    <w:autoRedefine/>
    <w:qFormat/>
    <w:rsid w:val="00F646B2"/>
    <w:pPr>
      <w:ind w:firstLineChars="0" w:firstLine="0"/>
    </w:pPr>
  </w:style>
  <w:style w:type="character" w:styleId="aff1">
    <w:name w:val="Hyperlink"/>
    <w:basedOn w:val="a0"/>
    <w:uiPriority w:val="99"/>
    <w:unhideWhenUsed/>
    <w:rsid w:val="00211613"/>
    <w:rPr>
      <w:color w:val="0000FF" w:themeColor="hyperlink"/>
      <w:u w:val="single"/>
    </w:rPr>
  </w:style>
  <w:style w:type="character" w:customStyle="1" w:styleId="11">
    <w:name w:val="未处理的提及1"/>
    <w:basedOn w:val="a0"/>
    <w:uiPriority w:val="99"/>
    <w:semiHidden/>
    <w:unhideWhenUsed/>
    <w:rsid w:val="00211613"/>
    <w:rPr>
      <w:color w:val="605E5C"/>
      <w:shd w:val="clear" w:color="auto" w:fill="E1DFDD"/>
    </w:rPr>
  </w:style>
  <w:style w:type="character" w:styleId="aff2">
    <w:name w:val="annotation reference"/>
    <w:basedOn w:val="a0"/>
    <w:uiPriority w:val="99"/>
    <w:semiHidden/>
    <w:unhideWhenUsed/>
    <w:rsid w:val="008F3335"/>
    <w:rPr>
      <w:sz w:val="21"/>
      <w:szCs w:val="21"/>
    </w:rPr>
  </w:style>
  <w:style w:type="paragraph" w:styleId="aff3">
    <w:name w:val="annotation text"/>
    <w:basedOn w:val="a"/>
    <w:link w:val="aff4"/>
    <w:uiPriority w:val="99"/>
    <w:semiHidden/>
    <w:unhideWhenUsed/>
    <w:rsid w:val="008F3335"/>
    <w:pPr>
      <w:jc w:val="left"/>
    </w:pPr>
  </w:style>
  <w:style w:type="character" w:customStyle="1" w:styleId="aff4">
    <w:name w:val="批注文字 字符"/>
    <w:basedOn w:val="a0"/>
    <w:link w:val="aff3"/>
    <w:uiPriority w:val="99"/>
    <w:semiHidden/>
    <w:rsid w:val="008F3335"/>
    <w:rPr>
      <w:rFonts w:ascii="Times New Roman" w:eastAsia="Times New Roman" w:hAnsi="Times New Roman" w:cs="Times New Roman"/>
      <w:szCs w:val="21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8F3335"/>
    <w:rPr>
      <w:b/>
      <w:bCs/>
    </w:rPr>
  </w:style>
  <w:style w:type="character" w:customStyle="1" w:styleId="aff6">
    <w:name w:val="批注主题 字符"/>
    <w:basedOn w:val="aff4"/>
    <w:link w:val="aff5"/>
    <w:uiPriority w:val="99"/>
    <w:semiHidden/>
    <w:rsid w:val="008F3335"/>
    <w:rPr>
      <w:rFonts w:ascii="Times New Roman" w:eastAsia="Times New Roman" w:hAnsi="Times New Roman" w:cs="Times New Roman"/>
      <w:b/>
      <w:bCs/>
      <w:szCs w:val="21"/>
    </w:rPr>
  </w:style>
  <w:style w:type="table" w:styleId="5-3">
    <w:name w:val="Grid Table 5 Dark Accent 3"/>
    <w:basedOn w:val="a1"/>
    <w:uiPriority w:val="50"/>
    <w:rsid w:val="00BB3B28"/>
    <w:rPr>
      <w:szCs w:val="24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styleId="aff7">
    <w:name w:val="Revision"/>
    <w:hidden/>
    <w:uiPriority w:val="99"/>
    <w:semiHidden/>
    <w:rsid w:val="005C3AA3"/>
    <w:rPr>
      <w:rFonts w:ascii="Times New Roman" w:eastAsia="Times New Roman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4D005-5687-4F24-A07A-53AE1C127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926</TotalTime>
  <Pages>4</Pages>
  <Words>689</Words>
  <Characters>3931</Characters>
  <Application>Microsoft Office Word</Application>
  <DocSecurity>0</DocSecurity>
  <Lines>32</Lines>
  <Paragraphs>9</Paragraphs>
  <ScaleCrop>false</ScaleCrop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Donna Yeo</cp:lastModifiedBy>
  <cp:revision>20</cp:revision>
  <dcterms:created xsi:type="dcterms:W3CDTF">2025-08-19T00:51:00Z</dcterms:created>
  <dcterms:modified xsi:type="dcterms:W3CDTF">2025-09-01T08:00:00Z</dcterms:modified>
</cp:coreProperties>
</file>